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F20463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F20463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="001376D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20463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F20463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 Medicale și Chirurgicale</w:t>
            </w:r>
          </w:p>
          <w:p w:rsidR="00510E49" w:rsidRPr="00F20463" w:rsidRDefault="003F39FF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Șef lucrări -  perioadă nedeterminată</w:t>
            </w:r>
          </w:p>
          <w:p w:rsidR="00510E49" w:rsidRPr="00F20463" w:rsidRDefault="00BF012F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32</w:t>
            </w:r>
          </w:p>
        </w:tc>
      </w:tr>
      <w:tr w:rsidR="00D60EAC" w:rsidRPr="00F20463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F20463">
              <w:trPr>
                <w:trHeight w:val="188"/>
              </w:trPr>
              <w:tc>
                <w:tcPr>
                  <w:tcW w:w="0" w:type="auto"/>
                </w:tcPr>
                <w:p w:rsidR="001C4A46" w:rsidRPr="00DF5C13" w:rsidRDefault="001C4A46" w:rsidP="001C4A46">
                  <w:pPr>
                    <w:jc w:val="center"/>
                    <w:rPr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>PROBELE DE CONCURS</w:t>
                  </w:r>
                  <w:r w:rsidRPr="00DF5C13">
                    <w:rPr>
                      <w:rStyle w:val="Referinnotdesubsol"/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footnoteReference w:id="1"/>
                  </w:r>
                </w:p>
                <w:p w:rsidR="001C4A46" w:rsidRPr="00DF5C13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Prob</w:t>
                  </w:r>
                  <w:r w:rsidR="004F6E31"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a</w:t>
                  </w: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 scrisă</w:t>
                  </w:r>
                </w:p>
                <w:p w:rsidR="001C4A46" w:rsidRPr="00DF5C13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Prob</w:t>
                  </w:r>
                  <w:r w:rsidR="004F6E31"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a</w:t>
                  </w: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 clinică</w:t>
                  </w:r>
                </w:p>
                <w:p w:rsidR="001C4A46" w:rsidRPr="00DF5C13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Prob</w:t>
                  </w:r>
                  <w:r w:rsidR="004F6E31"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a</w:t>
                  </w: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 didactică (cursul magistral)</w:t>
                  </w:r>
                </w:p>
                <w:p w:rsidR="001C4A46" w:rsidRPr="00DF5C13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Prezentarea publică a planului de dezvoltare a carierei universitare </w:t>
                  </w:r>
                </w:p>
                <w:p w:rsidR="005F578E" w:rsidRPr="00F20463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  <w:p w:rsidR="00380734" w:rsidRPr="00F20463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 Medium" w:eastAsia="MS Mincho" w:hAnsi="UT Sans Medium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F20463">
                    <w:rPr>
                      <w:rFonts w:ascii="UT Sans Medium" w:eastAsia="MS Mincho" w:hAnsi="UT Sans Medium" w:cs="Cambria"/>
                      <w:b/>
                      <w:bCs/>
                      <w:color w:val="000000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F20463" w:rsidTr="00B5538E">
              <w:trPr>
                <w:trHeight w:val="1135"/>
              </w:trPr>
              <w:tc>
                <w:tcPr>
                  <w:tcW w:w="0" w:type="auto"/>
                </w:tcPr>
                <w:p w:rsidR="00380734" w:rsidRPr="00F20463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/>
                      <w:sz w:val="22"/>
                      <w:szCs w:val="22"/>
                      <w:lang w:val="ro-RO"/>
                    </w:rPr>
                  </w:pP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Bronșita cronic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. Emfizemul pulmonar.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Bronhopneumopatia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cronic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obstructiv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Pneumoniile.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Astmul bronșic.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Abcesul pulmonar.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Cancerul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bronhopulmonar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Tuberculoza pulmonară a adultului (forme clinice, diagnostice, principii de tratament).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Pleureziile.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Sindroamele mediastinale.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Alveolite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fibrozante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acute și cronice.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 respiratorie.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Endocardita bacteriană subacută.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Valvulopatii mitrale și aortice.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Tulburările de ritm ale inimii.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Tulburările de conducere ale inimii.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Pericarditele.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Miocardite și cardiomiopatii.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Cardiopatia ischemică (Angina pectorală stabilă și instabil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infarctul miocardic acut).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Edemul pulmonar acut cardiogen și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noncardiogen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Șocul cardiogen.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lastRenderedPageBreak/>
                    <w:t>Moartea subită cardiacă.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Cordul pulmonar cronic.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 cardiac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congestiv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Tromboembolismul pulmonar.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Hipertensiunea arterială esen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ial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și secundar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Tromboflebitele.  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Bolile aortei și arterelor periferice.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Glomerulonefrite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acute, rapid progresive și cronice.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Sindromul nefrotic.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Nefropatii intersti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iale acute și cronice.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Litiaza renală. Infec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iile urinare. Pielonefritele.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 renal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acut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 renal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cronic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Rinichiul de sarcină.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Esofagita de reflux. Hernia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hiatală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Ulcerul gastric și duodenal.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Cancerul gastric.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Suferin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ele stomacului operat.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Colita ulceroasă și boala Crohn.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Cancerul colonului.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Cancerul rectal.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Hepatitele virale.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Hepatita cronică.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Cirozele hepatice.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Insuficien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 hepatic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și encefalopatia portal-sistemic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Litiaza biliară.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Icterele.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Pancreatite acute și cronice.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Cancerul de pancreas.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Hemoragiile digestive superioare.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Anemiile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feriprive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Anemiile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megaloblastice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Anemiile hemolitice.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Leucoza acută.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Leucoza limfatică cronică.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Sindromul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mieloproliferativ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(leucoza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mieloidă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cronică, policitemia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vera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trombocitemia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esen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iala, 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lastRenderedPageBreak/>
                    <w:t xml:space="preserve">metaplazia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mieloidă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cu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mieloscleroză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).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Limfoame maligne.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Sindroame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hemoragipare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de cauza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trombocitară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vasculară și prin tulbur</w:t>
                  </w:r>
                  <w:r w:rsidRPr="00F20463">
                    <w:rPr>
                      <w:rFonts w:ascii="UT Sans" w:hAnsi="UT Sans" w:cs="Book Antiqua"/>
                      <w:sz w:val="22"/>
                      <w:szCs w:val="22"/>
                      <w:lang w:val="ro-RO"/>
                    </w:rPr>
                    <w:t>ă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ri de coagulare.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Diabetul zaharat.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Reumatismul articular acut.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Poliartrita reumatoidă.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Artritele seronegative, artritele infec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ioase și prin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microcristale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Artrozele.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Sciatica vertebrală.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Colagenoze (lupus eritematos, sclerodermia,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dermato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-miozite, boala mixtă de </w:t>
                  </w:r>
                  <w:r w:rsidR="001C4A46"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esut conjunctiv.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Vasculite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sistemice.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Hipertiroidismul.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Aterogeneza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și </w:t>
                  </w: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ateroscleroza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Dislipidemiile</w:t>
                  </w:r>
                  <w:proofErr w:type="spellEnd"/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F20463" w:rsidRDefault="00285430" w:rsidP="00285430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Obezitatea.</w:t>
                  </w:r>
                </w:p>
                <w:p w:rsidR="00763DE8" w:rsidRPr="00F20463" w:rsidRDefault="00763DE8" w:rsidP="00763DE8">
                  <w:pPr>
                    <w:spacing w:line="276" w:lineRule="auto"/>
                    <w:ind w:left="360"/>
                    <w:rPr>
                      <w:rFonts w:ascii="UT Sans" w:hAnsi="UT Sans"/>
                      <w:b/>
                      <w:sz w:val="22"/>
                      <w:szCs w:val="22"/>
                      <w:lang w:val="ro-RO"/>
                    </w:rPr>
                  </w:pPr>
                </w:p>
                <w:p w:rsidR="00285430" w:rsidRPr="00F20463" w:rsidRDefault="00285430" w:rsidP="00285430">
                  <w:pPr>
                    <w:pStyle w:val="NormalWeb"/>
                    <w:spacing w:before="0" w:beforeAutospacing="0" w:after="0" w:afterAutospacing="0"/>
                    <w:jc w:val="both"/>
                    <w:rPr>
                      <w:rFonts w:ascii="UT Sans" w:hAnsi="UT Sans"/>
                      <w:b/>
                      <w:lang w:val="ro-RO"/>
                    </w:rPr>
                  </w:pPr>
                  <w:r w:rsidRPr="00F20463">
                    <w:rPr>
                      <w:rFonts w:ascii="UT Sans" w:hAnsi="UT Sans"/>
                      <w:b/>
                      <w:lang w:val="ro-RO"/>
                    </w:rPr>
                    <w:t>Bibliografie</w:t>
                  </w:r>
                </w:p>
                <w:p w:rsidR="00285430" w:rsidRPr="00DF5C13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Gherasim L. Medicină Internă, vol. 1, ed. a II-a. Ed. Medicală,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2001.</w:t>
                  </w:r>
                </w:p>
                <w:p w:rsidR="00285430" w:rsidRPr="00DF5C13" w:rsidRDefault="002C5765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Gherasim L. Medicină Internă, vol. 2, ed. a II-a. Ed. Medicală, </w:t>
                  </w:r>
                  <w:proofErr w:type="spellStart"/>
                  <w:r w:rsidRPr="00DF5C13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>, 2004</w:t>
                  </w:r>
                  <w:r w:rsidR="00285430"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DF5C13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Gherasim L. Medicină Internă, vol. 3, ed. I. Ed. Medicală,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1998.</w:t>
                  </w:r>
                </w:p>
                <w:p w:rsidR="00285430" w:rsidRPr="00DF5C13" w:rsidRDefault="002C5765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Gherasim L. Medicină Internă, vol. 4. Ed. Medicală, </w:t>
                  </w:r>
                  <w:proofErr w:type="spellStart"/>
                  <w:r w:rsidRPr="00DF5C13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>, 2003</w:t>
                  </w:r>
                  <w:r w:rsidR="00285430"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:rsidR="00285430" w:rsidRPr="00DF5C13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Ghid de Practică Medicală - vol. 1. Ed.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Infomedica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1999.</w:t>
                  </w:r>
                </w:p>
                <w:p w:rsidR="00285430" w:rsidRPr="00DF5C13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Ghid de Practică Medicală - vol. 2. Ed.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Infomedica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2001.</w:t>
                  </w:r>
                </w:p>
                <w:p w:rsidR="00142309" w:rsidRPr="00DF5C13" w:rsidRDefault="00142309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DF5C13">
                    <w:rPr>
                      <w:rStyle w:val="Accentuat"/>
                      <w:rFonts w:ascii="UT Sans" w:hAnsi="UT Sans" w:cs="Arial"/>
                      <w:bCs/>
                      <w:i w:val="0"/>
                      <w:sz w:val="22"/>
                      <w:szCs w:val="22"/>
                      <w:lang w:val="ro-RO"/>
                    </w:rPr>
                    <w:t>Ginghina</w:t>
                  </w:r>
                  <w:proofErr w:type="spellEnd"/>
                  <w:r w:rsidRPr="00DF5C13">
                    <w:rPr>
                      <w:rStyle w:val="st"/>
                      <w:rFonts w:ascii="UT Sans" w:hAnsi="UT Sans" w:cs="Arial"/>
                      <w:sz w:val="22"/>
                      <w:szCs w:val="22"/>
                      <w:lang w:val="ro-RO"/>
                    </w:rPr>
                    <w:t> C. Mic tratat de </w:t>
                  </w:r>
                  <w:r w:rsidRPr="00DF5C13">
                    <w:rPr>
                      <w:rStyle w:val="Accentuat"/>
                      <w:rFonts w:ascii="UT Sans" w:hAnsi="UT Sans" w:cs="Arial"/>
                      <w:bCs/>
                      <w:i w:val="0"/>
                      <w:sz w:val="22"/>
                      <w:szCs w:val="22"/>
                      <w:lang w:val="ro-RO"/>
                    </w:rPr>
                    <w:t>cardiologie</w:t>
                  </w:r>
                  <w:r w:rsidRPr="00DF5C13">
                    <w:rPr>
                      <w:rStyle w:val="st"/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. </w:t>
                  </w:r>
                  <w:proofErr w:type="spellStart"/>
                  <w:r w:rsidRPr="00DF5C13">
                    <w:rPr>
                      <w:rStyle w:val="st"/>
                      <w:rFonts w:ascii="UT Sans" w:hAnsi="UT Sans" w:cs="Arial"/>
                      <w:sz w:val="22"/>
                      <w:szCs w:val="22"/>
                      <w:lang w:val="ro-RO"/>
                    </w:rPr>
                    <w:t>Editia</w:t>
                  </w:r>
                  <w:proofErr w:type="spellEnd"/>
                  <w:r w:rsidRPr="00DF5C13">
                    <w:rPr>
                      <w:rStyle w:val="st"/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 a II-a, </w:t>
                  </w:r>
                  <w:r w:rsidRPr="00DF5C13">
                    <w:rPr>
                      <w:rFonts w:ascii="UT Sans" w:hAnsi="UT Sans" w:cs="Arial"/>
                      <w:bCs/>
                      <w:sz w:val="22"/>
                      <w:szCs w:val="22"/>
                      <w:lang w:val="ro-RO"/>
                    </w:rPr>
                    <w:t xml:space="preserve">Editura </w:t>
                  </w:r>
                  <w:hyperlink r:id="rId7" w:tooltip="Carti Editura Academiei Romane" w:history="1">
                    <w:r w:rsidRPr="00DF5C13">
                      <w:rPr>
                        <w:rStyle w:val="Hyperlink"/>
                        <w:rFonts w:ascii="UT Sans" w:hAnsi="UT Sans" w:cs="Arial"/>
                        <w:sz w:val="22"/>
                        <w:szCs w:val="22"/>
                        <w:lang w:val="ro-RO"/>
                      </w:rPr>
                      <w:t>Academiei Romane</w:t>
                    </w:r>
                  </w:hyperlink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</w:t>
                  </w:r>
                  <w:r w:rsidRPr="00DF5C13">
                    <w:rPr>
                      <w:rFonts w:ascii="UT Sans" w:hAnsi="UT Sans" w:cs="Arial"/>
                      <w:sz w:val="22"/>
                      <w:szCs w:val="22"/>
                      <w:lang w:val="ro-RO"/>
                    </w:rPr>
                    <w:t xml:space="preserve"> 2017. </w:t>
                  </w:r>
                </w:p>
                <w:p w:rsidR="00285430" w:rsidRPr="00DF5C13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Grigorescu M., Pascu O. Tratat de Gastroenterologie. Ed. Tehnică,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1996.</w:t>
                  </w:r>
                </w:p>
                <w:p w:rsidR="00285430" w:rsidRPr="00DF5C13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Mut Popescu D. Hematologie. Ed. Medicală,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1998.</w:t>
                  </w:r>
                </w:p>
                <w:p w:rsidR="00285430" w:rsidRPr="00DF5C13" w:rsidRDefault="00285430" w:rsidP="00285430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="0" w:afterAutospacing="0"/>
                    <w:ind w:left="36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Popescu E., Ionescu R. Compendiu de Reumatologie, ed. a III-a. Ed. Tehnică, </w:t>
                  </w:r>
                  <w:proofErr w:type="spellStart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Bucureşti</w:t>
                  </w:r>
                  <w:proofErr w:type="spellEnd"/>
                  <w:r w:rsidRPr="00DF5C13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 1999.</w:t>
                  </w:r>
                </w:p>
                <w:p w:rsidR="00380734" w:rsidRPr="00F20463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86F6D" w:rsidRPr="00F20463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:rsidR="00686F6D" w:rsidRPr="00F20463" w:rsidRDefault="00686F6D" w:rsidP="00686F6D">
            <w:pPr>
              <w:pStyle w:val="Default"/>
              <w:jc w:val="center"/>
              <w:rPr>
                <w:rFonts w:ascii="UT Sans Medium" w:hAnsi="UT Sans Medium"/>
                <w:b/>
                <w:bCs/>
                <w:szCs w:val="22"/>
              </w:rPr>
            </w:pPr>
            <w:r w:rsidRPr="00F20463">
              <w:rPr>
                <w:rFonts w:ascii="UT Sans Medium" w:hAnsi="UT Sans Medium"/>
                <w:b/>
                <w:bCs/>
                <w:szCs w:val="22"/>
              </w:rPr>
              <w:t>Tematica probei clinice</w:t>
            </w:r>
          </w:p>
          <w:p w:rsidR="00BD5F7D" w:rsidRPr="00F20463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:rsidR="00D60EAC" w:rsidRPr="00F20463" w:rsidRDefault="00705D1C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   </w:t>
            </w:r>
            <w:r w:rsidR="00686F6D"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Examinarea și prezentarea unui caz clinic din tematica probei scrise. </w:t>
            </w:r>
          </w:p>
          <w:p w:rsidR="001A08A8" w:rsidRPr="00F20463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1D5AB6" w:rsidRPr="00F20463" w:rsidRDefault="001D5AB6" w:rsidP="00763DE8">
            <w:pPr>
              <w:spacing w:line="276" w:lineRule="auto"/>
              <w:jc w:val="center"/>
              <w:rPr>
                <w:rFonts w:ascii="UT Sans Medium" w:hAnsi="UT Sans Medium" w:cs="Arial"/>
                <w:b/>
                <w:szCs w:val="28"/>
                <w:lang w:val="ro-RO"/>
              </w:rPr>
            </w:pPr>
            <w:r w:rsidRPr="00F20463">
              <w:rPr>
                <w:rFonts w:ascii="UT Sans Medium" w:hAnsi="UT Sans Medium" w:cs="Arial"/>
                <w:b/>
                <w:szCs w:val="28"/>
                <w:lang w:val="ro-RO"/>
              </w:rPr>
              <w:t>Proba didactică (cursul magistral)</w:t>
            </w:r>
          </w:p>
          <w:p w:rsidR="001D5AB6" w:rsidRPr="00F20463" w:rsidRDefault="001D5AB6" w:rsidP="00763DE8">
            <w:pPr>
              <w:spacing w:line="276" w:lineRule="auto"/>
              <w:jc w:val="center"/>
              <w:rPr>
                <w:rFonts w:ascii="UT Sans Regular" w:hAnsi="UT Sans Regular" w:cs="Arial"/>
                <w:b/>
                <w:szCs w:val="28"/>
                <w:lang w:val="ro-RO"/>
              </w:rPr>
            </w:pPr>
          </w:p>
          <w:p w:rsidR="00DA5719" w:rsidRPr="0024222C" w:rsidRDefault="0024222C" w:rsidP="0024222C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UT Sans" w:hAnsi="UT Sans" w:cs="Arial"/>
                <w:sz w:val="22"/>
                <w:szCs w:val="28"/>
                <w:lang w:val="ro-RO"/>
              </w:rPr>
            </w:pPr>
            <w:proofErr w:type="spellStart"/>
            <w:r w:rsidRPr="0024222C">
              <w:rPr>
                <w:rFonts w:ascii="UT Sans" w:hAnsi="UT Sans" w:cs="Arial"/>
                <w:sz w:val="22"/>
                <w:szCs w:val="28"/>
              </w:rPr>
              <w:t>Hemoraga</w:t>
            </w:r>
            <w:proofErr w:type="spellEnd"/>
            <w:r w:rsidRPr="0024222C">
              <w:rPr>
                <w:rFonts w:ascii="UT Sans" w:hAnsi="UT Sans" w:cs="Arial"/>
                <w:sz w:val="22"/>
                <w:szCs w:val="28"/>
              </w:rPr>
              <w:t xml:space="preserve"> </w:t>
            </w:r>
            <w:proofErr w:type="spellStart"/>
            <w:r w:rsidRPr="0024222C">
              <w:rPr>
                <w:rFonts w:ascii="UT Sans" w:hAnsi="UT Sans" w:cs="Arial"/>
                <w:sz w:val="22"/>
                <w:szCs w:val="28"/>
              </w:rPr>
              <w:t>digestivă</w:t>
            </w:r>
            <w:proofErr w:type="spellEnd"/>
            <w:r w:rsidRPr="0024222C">
              <w:rPr>
                <w:rFonts w:ascii="UT Sans" w:hAnsi="UT Sans" w:cs="Arial"/>
                <w:sz w:val="22"/>
                <w:szCs w:val="28"/>
              </w:rPr>
              <w:t xml:space="preserve"> </w:t>
            </w:r>
            <w:proofErr w:type="spellStart"/>
            <w:r w:rsidRPr="0024222C">
              <w:rPr>
                <w:rFonts w:ascii="UT Sans" w:hAnsi="UT Sans" w:cs="Arial"/>
                <w:sz w:val="22"/>
                <w:szCs w:val="28"/>
              </w:rPr>
              <w:t>superioară</w:t>
            </w:r>
            <w:proofErr w:type="spellEnd"/>
          </w:p>
          <w:p w:rsidR="00E065CE" w:rsidRPr="0024222C" w:rsidRDefault="0024222C" w:rsidP="0024222C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UT Sans" w:hAnsi="UT Sans" w:cs="Arial"/>
                <w:sz w:val="22"/>
                <w:szCs w:val="28"/>
                <w:lang w:val="ro-RO"/>
              </w:rPr>
            </w:pPr>
            <w:proofErr w:type="spellStart"/>
            <w:r w:rsidRPr="0024222C">
              <w:rPr>
                <w:rFonts w:ascii="UT Sans" w:hAnsi="UT Sans" w:cs="Arial"/>
                <w:sz w:val="22"/>
                <w:szCs w:val="28"/>
              </w:rPr>
              <w:t>Infecția</w:t>
            </w:r>
            <w:proofErr w:type="spellEnd"/>
            <w:r w:rsidRPr="0024222C">
              <w:rPr>
                <w:rFonts w:ascii="UT Sans" w:hAnsi="UT Sans" w:cs="Arial"/>
                <w:sz w:val="22"/>
                <w:szCs w:val="28"/>
              </w:rPr>
              <w:t xml:space="preserve"> cu Helicobacter Pylori</w:t>
            </w:r>
          </w:p>
          <w:p w:rsidR="00E065CE" w:rsidRPr="0024222C" w:rsidRDefault="0024222C" w:rsidP="0024222C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UT Sans" w:hAnsi="UT Sans" w:cs="Arial"/>
                <w:sz w:val="22"/>
                <w:szCs w:val="28"/>
                <w:lang w:val="ro-RO"/>
              </w:rPr>
            </w:pPr>
            <w:proofErr w:type="spellStart"/>
            <w:r w:rsidRPr="0024222C">
              <w:rPr>
                <w:rFonts w:ascii="UT Sans" w:hAnsi="UT Sans" w:cs="Arial"/>
                <w:sz w:val="22"/>
                <w:szCs w:val="28"/>
              </w:rPr>
              <w:t>Hemoragia</w:t>
            </w:r>
            <w:proofErr w:type="spellEnd"/>
            <w:r w:rsidRPr="0024222C">
              <w:rPr>
                <w:rFonts w:ascii="UT Sans" w:hAnsi="UT Sans" w:cs="Arial"/>
                <w:sz w:val="22"/>
                <w:szCs w:val="28"/>
              </w:rPr>
              <w:t xml:space="preserve"> </w:t>
            </w:r>
            <w:proofErr w:type="spellStart"/>
            <w:r w:rsidRPr="0024222C">
              <w:rPr>
                <w:rFonts w:ascii="UT Sans" w:hAnsi="UT Sans" w:cs="Arial"/>
                <w:sz w:val="22"/>
                <w:szCs w:val="28"/>
              </w:rPr>
              <w:t>digestivă</w:t>
            </w:r>
            <w:proofErr w:type="spellEnd"/>
            <w:r w:rsidRPr="0024222C">
              <w:rPr>
                <w:rFonts w:ascii="UT Sans" w:hAnsi="UT Sans" w:cs="Arial"/>
                <w:sz w:val="22"/>
                <w:szCs w:val="28"/>
              </w:rPr>
              <w:t xml:space="preserve"> </w:t>
            </w:r>
            <w:proofErr w:type="spellStart"/>
            <w:r w:rsidRPr="0024222C">
              <w:rPr>
                <w:rFonts w:ascii="UT Sans" w:hAnsi="UT Sans" w:cs="Arial"/>
                <w:sz w:val="22"/>
                <w:szCs w:val="28"/>
              </w:rPr>
              <w:t>inferioară</w:t>
            </w:r>
            <w:proofErr w:type="spellEnd"/>
          </w:p>
          <w:p w:rsidR="00E065CE" w:rsidRPr="0024222C" w:rsidRDefault="0024222C" w:rsidP="0024222C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UT Sans" w:hAnsi="UT Sans" w:cs="Arial"/>
                <w:sz w:val="22"/>
                <w:szCs w:val="28"/>
                <w:lang w:val="ro-RO"/>
              </w:rPr>
            </w:pPr>
            <w:proofErr w:type="spellStart"/>
            <w:r w:rsidRPr="0024222C">
              <w:rPr>
                <w:rFonts w:ascii="UT Sans" w:hAnsi="UT Sans" w:cs="Arial"/>
                <w:sz w:val="22"/>
                <w:szCs w:val="28"/>
              </w:rPr>
              <w:lastRenderedPageBreak/>
              <w:t>Boala</w:t>
            </w:r>
            <w:proofErr w:type="spellEnd"/>
            <w:r w:rsidRPr="0024222C">
              <w:rPr>
                <w:rFonts w:ascii="UT Sans" w:hAnsi="UT Sans" w:cs="Arial"/>
                <w:sz w:val="22"/>
                <w:szCs w:val="28"/>
              </w:rPr>
              <w:t xml:space="preserve"> </w:t>
            </w:r>
            <w:proofErr w:type="spellStart"/>
            <w:r w:rsidRPr="0024222C">
              <w:rPr>
                <w:rFonts w:ascii="UT Sans" w:hAnsi="UT Sans" w:cs="Arial"/>
                <w:sz w:val="22"/>
                <w:szCs w:val="28"/>
              </w:rPr>
              <w:t>celiacă</w:t>
            </w:r>
            <w:proofErr w:type="spellEnd"/>
            <w:r w:rsidRPr="0024222C">
              <w:rPr>
                <w:rFonts w:ascii="UT Sans" w:hAnsi="UT Sans" w:cs="Arial"/>
                <w:sz w:val="22"/>
                <w:szCs w:val="28"/>
              </w:rPr>
              <w:t xml:space="preserve"> (</w:t>
            </w:r>
            <w:proofErr w:type="spellStart"/>
            <w:r w:rsidRPr="0024222C">
              <w:rPr>
                <w:rFonts w:ascii="UT Sans" w:hAnsi="UT Sans" w:cs="Arial"/>
                <w:sz w:val="22"/>
                <w:szCs w:val="28"/>
              </w:rPr>
              <w:t>enteropatia</w:t>
            </w:r>
            <w:proofErr w:type="spellEnd"/>
            <w:r w:rsidRPr="0024222C">
              <w:rPr>
                <w:rFonts w:ascii="UT Sans" w:hAnsi="UT Sans" w:cs="Arial"/>
                <w:sz w:val="22"/>
                <w:szCs w:val="28"/>
              </w:rPr>
              <w:t xml:space="preserve"> </w:t>
            </w:r>
            <w:proofErr w:type="spellStart"/>
            <w:r w:rsidRPr="0024222C">
              <w:rPr>
                <w:rFonts w:ascii="UT Sans" w:hAnsi="UT Sans" w:cs="Arial"/>
                <w:sz w:val="22"/>
                <w:szCs w:val="28"/>
              </w:rPr>
              <w:t>glutenică</w:t>
            </w:r>
            <w:proofErr w:type="spellEnd"/>
            <w:r w:rsidRPr="0024222C">
              <w:rPr>
                <w:rFonts w:ascii="UT Sans" w:hAnsi="UT Sans" w:cs="Arial"/>
                <w:sz w:val="22"/>
                <w:szCs w:val="28"/>
              </w:rPr>
              <w:t>).</w:t>
            </w:r>
          </w:p>
          <w:p w:rsidR="00E065CE" w:rsidRPr="0024222C" w:rsidRDefault="0024222C" w:rsidP="0024222C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/>
              <w:jc w:val="both"/>
              <w:rPr>
                <w:rFonts w:ascii="UT Sans" w:hAnsi="UT Sans"/>
                <w:sz w:val="22"/>
                <w:lang w:val="ro-RO"/>
              </w:rPr>
            </w:pPr>
            <w:proofErr w:type="spellStart"/>
            <w:r w:rsidRPr="0024222C">
              <w:rPr>
                <w:rFonts w:ascii="UT Sans" w:hAnsi="UT Sans" w:cs="Arial"/>
                <w:sz w:val="22"/>
                <w:szCs w:val="28"/>
              </w:rPr>
              <w:t>Diverticuloza</w:t>
            </w:r>
            <w:proofErr w:type="spellEnd"/>
            <w:r w:rsidRPr="0024222C">
              <w:rPr>
                <w:rFonts w:ascii="UT Sans" w:hAnsi="UT Sans" w:cs="Arial"/>
                <w:sz w:val="22"/>
                <w:szCs w:val="28"/>
              </w:rPr>
              <w:t xml:space="preserve"> </w:t>
            </w:r>
            <w:proofErr w:type="spellStart"/>
            <w:r w:rsidRPr="0024222C">
              <w:rPr>
                <w:rFonts w:ascii="UT Sans" w:hAnsi="UT Sans" w:cs="Arial"/>
                <w:sz w:val="22"/>
                <w:szCs w:val="28"/>
              </w:rPr>
              <w:t>colonică</w:t>
            </w:r>
            <w:proofErr w:type="spellEnd"/>
          </w:p>
          <w:p w:rsidR="00E065CE" w:rsidRPr="00F20463" w:rsidRDefault="00E065CE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/>
                <w:b/>
                <w:lang w:val="ro-RO"/>
              </w:rPr>
            </w:pPr>
          </w:p>
          <w:p w:rsidR="00DA5719" w:rsidRPr="00F20463" w:rsidRDefault="00DA5719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/>
                <w:b/>
                <w:lang w:val="ro-RO"/>
              </w:rPr>
            </w:pPr>
            <w:r w:rsidRPr="00F20463">
              <w:rPr>
                <w:rFonts w:ascii="UT Sans" w:hAnsi="UT Sans"/>
                <w:b/>
                <w:lang w:val="ro-RO"/>
              </w:rPr>
              <w:t>Bibliografie</w:t>
            </w:r>
          </w:p>
          <w:p w:rsidR="00127B38" w:rsidRPr="00127B38" w:rsidRDefault="00127B38" w:rsidP="00127B38">
            <w:pPr>
              <w:pStyle w:val="Listparagraf"/>
              <w:numPr>
                <w:ilvl w:val="1"/>
                <w:numId w:val="8"/>
              </w:numPr>
              <w:spacing w:line="276" w:lineRule="auto"/>
              <w:ind w:left="592"/>
              <w:rPr>
                <w:rFonts w:ascii="UT Sans" w:hAnsi="UT Sans" w:cs="Arial"/>
                <w:sz w:val="22"/>
                <w:szCs w:val="28"/>
              </w:rPr>
            </w:pP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Trifan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 A.,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Gheorhe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 C.,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Dumitrașcu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 D.,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Diculescu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 M., Gheorghe L,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Sporea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 I.,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Tanțău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 M.,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Ciurea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 T.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Gastroenterologie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și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Hepatologie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Clinică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. </w:t>
            </w:r>
            <w:r w:rsidRPr="00127B38">
              <w:rPr>
                <w:rFonts w:ascii="UT Sans" w:hAnsi="UT Sans" w:cs="Arial"/>
                <w:sz w:val="22"/>
                <w:szCs w:val="28"/>
                <w:lang w:val="pt-PT"/>
              </w:rPr>
              <w:t>Editura Medical</w:t>
            </w:r>
            <w:r w:rsidRPr="00127B38">
              <w:rPr>
                <w:rFonts w:ascii="UT Sans" w:hAnsi="UT Sans" w:cs="Arial"/>
                <w:sz w:val="22"/>
                <w:szCs w:val="28"/>
              </w:rPr>
              <w:t xml:space="preserve">ă,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București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>, 2018.</w:t>
            </w:r>
          </w:p>
          <w:p w:rsidR="00127B38" w:rsidRPr="00127B38" w:rsidRDefault="00127B38" w:rsidP="00127B38">
            <w:pPr>
              <w:pStyle w:val="Listparagraf"/>
              <w:numPr>
                <w:ilvl w:val="1"/>
                <w:numId w:val="8"/>
              </w:numPr>
              <w:spacing w:line="276" w:lineRule="auto"/>
              <w:ind w:left="592"/>
              <w:rPr>
                <w:rFonts w:ascii="UT Sans" w:hAnsi="UT Sans" w:cs="Arial"/>
                <w:sz w:val="22"/>
                <w:szCs w:val="28"/>
              </w:rPr>
            </w:pPr>
            <w:r w:rsidRPr="00127B38">
              <w:rPr>
                <w:rFonts w:ascii="UT Sans" w:hAnsi="UT Sans" w:cs="Arial"/>
                <w:sz w:val="22"/>
                <w:szCs w:val="28"/>
              </w:rPr>
              <w:t xml:space="preserve">Gheorghe L., Gheorghe C.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Vademecum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în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Gastroenterologie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.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Editura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Nemira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,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București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>, 2002.</w:t>
            </w:r>
          </w:p>
          <w:p w:rsidR="00127B38" w:rsidRPr="00127B38" w:rsidRDefault="00127B38" w:rsidP="00127B38">
            <w:pPr>
              <w:pStyle w:val="Listparagraf"/>
              <w:numPr>
                <w:ilvl w:val="1"/>
                <w:numId w:val="8"/>
              </w:numPr>
              <w:spacing w:line="276" w:lineRule="auto"/>
              <w:ind w:left="592"/>
              <w:rPr>
                <w:rFonts w:ascii="UT Sans" w:hAnsi="UT Sans" w:cs="Arial"/>
                <w:sz w:val="22"/>
                <w:szCs w:val="28"/>
              </w:rPr>
            </w:pPr>
            <w:r w:rsidRPr="00127B38">
              <w:rPr>
                <w:rFonts w:ascii="UT Sans" w:hAnsi="UT Sans" w:cs="Arial"/>
                <w:sz w:val="22"/>
                <w:szCs w:val="28"/>
              </w:rPr>
              <w:t xml:space="preserve">Grigorescu M.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Tratat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 de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Gastroenterologie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, vol.1,2,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Editura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Medicală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Națională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 xml:space="preserve">, </w:t>
            </w:r>
            <w:proofErr w:type="spellStart"/>
            <w:r w:rsidRPr="00127B38">
              <w:rPr>
                <w:rFonts w:ascii="UT Sans" w:hAnsi="UT Sans" w:cs="Arial"/>
                <w:sz w:val="22"/>
                <w:szCs w:val="28"/>
              </w:rPr>
              <w:t>București</w:t>
            </w:r>
            <w:proofErr w:type="spellEnd"/>
            <w:r w:rsidRPr="00127B38">
              <w:rPr>
                <w:rFonts w:ascii="UT Sans" w:hAnsi="UT Sans" w:cs="Arial"/>
                <w:sz w:val="22"/>
                <w:szCs w:val="28"/>
              </w:rPr>
              <w:t>, 2001.</w:t>
            </w:r>
          </w:p>
          <w:p w:rsidR="001D5AB6" w:rsidRPr="00F20463" w:rsidRDefault="001D5AB6" w:rsidP="001D5AB6">
            <w:pPr>
              <w:spacing w:line="276" w:lineRule="auto"/>
              <w:rPr>
                <w:rFonts w:ascii="UT Sans Regular" w:hAnsi="UT Sans Regular" w:cs="Arial"/>
                <w:b/>
                <w:szCs w:val="28"/>
                <w:lang w:val="ro-RO"/>
              </w:rPr>
            </w:pPr>
          </w:p>
          <w:p w:rsidR="001D5AB6" w:rsidRPr="00F20463" w:rsidRDefault="001D5AB6" w:rsidP="001D5AB6">
            <w:pPr>
              <w:spacing w:line="276" w:lineRule="auto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F20463" w:rsidRDefault="002A418E" w:rsidP="00763DE8">
            <w:pPr>
              <w:spacing w:line="276" w:lineRule="auto"/>
              <w:jc w:val="center"/>
              <w:rPr>
                <w:rFonts w:ascii="UT Sans Medium" w:hAnsi="UT Sans Medium"/>
                <w:b/>
                <w:szCs w:val="22"/>
                <w:lang w:val="ro-RO"/>
              </w:rPr>
            </w:pPr>
            <w:r w:rsidRPr="00F20463">
              <w:rPr>
                <w:rFonts w:ascii="UT Sans Medium" w:hAnsi="UT Sans Medium"/>
                <w:b/>
                <w:szCs w:val="22"/>
                <w:lang w:val="ro-RO"/>
              </w:rPr>
              <w:t>Prezentarea publică a planului de dezvoltare a carierei universitare</w:t>
            </w:r>
          </w:p>
          <w:p w:rsidR="00763DE8" w:rsidRPr="00F20463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F20463" w:rsidRDefault="00763DE8" w:rsidP="001C5085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</w:t>
            </w:r>
            <w:r w:rsidR="001C4A46" w:rsidRPr="00F20463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ine în mod obligatoriu şi o sesiune de întrebări din partea comisiei de concurs sau a membrilor comunită</w:t>
            </w:r>
            <w:r w:rsidR="001C4A46" w:rsidRPr="00F20463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ii </w:t>
            </w:r>
            <w:r w:rsidR="007E0ED7" w:rsidRPr="00F20463">
              <w:rPr>
                <w:rFonts w:ascii="UT Sans" w:hAnsi="UT Sans"/>
                <w:sz w:val="22"/>
                <w:szCs w:val="22"/>
                <w:lang w:val="ro-RO"/>
              </w:rPr>
              <w:t>științifice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care participă la prezentare.</w:t>
            </w:r>
          </w:p>
        </w:tc>
      </w:tr>
      <w:tr w:rsidR="00D60EAC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F20463" w:rsidRDefault="00D60EAC" w:rsidP="00A97A81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proofErr w:type="spellStart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</w:t>
            </w:r>
            <w:proofErr w:type="spellEnd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 concursului</w:t>
            </w:r>
          </w:p>
        </w:tc>
      </w:tr>
      <w:tr w:rsidR="00066DD0" w:rsidRPr="00F20463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BF012F" w:rsidRPr="00F20463" w:rsidRDefault="00BF012F" w:rsidP="00BF012F">
            <w:pPr>
              <w:rPr>
                <w:rFonts w:ascii="UT Sans" w:hAnsi="UT Sans"/>
                <w:sz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 xml:space="preserve">Proba scrisă: </w:t>
            </w:r>
            <w:r w:rsidRPr="00F20463">
              <w:rPr>
                <w:rFonts w:ascii="UT Sans" w:hAnsi="UT Sans"/>
                <w:sz w:val="22"/>
                <w:lang w:val="ro-RO"/>
              </w:rPr>
              <w:t>0</w:t>
            </w:r>
            <w:r>
              <w:rPr>
                <w:rFonts w:ascii="UT Sans" w:hAnsi="UT Sans"/>
                <w:sz w:val="22"/>
                <w:lang w:val="ro-RO"/>
              </w:rPr>
              <w:t>1</w:t>
            </w:r>
            <w:r w:rsidRPr="00F20463">
              <w:rPr>
                <w:rFonts w:ascii="UT Sans" w:hAnsi="UT Sans"/>
                <w:sz w:val="22"/>
                <w:lang w:val="ro-RO"/>
              </w:rPr>
              <w:t xml:space="preserve"> Septembrie 20</w:t>
            </w:r>
            <w:r>
              <w:rPr>
                <w:rFonts w:ascii="UT Sans" w:hAnsi="UT Sans"/>
                <w:sz w:val="22"/>
                <w:lang w:val="ro-RO"/>
              </w:rPr>
              <w:t>20</w:t>
            </w:r>
            <w:r w:rsidRPr="00F20463">
              <w:rPr>
                <w:rFonts w:ascii="UT Sans" w:hAnsi="UT Sans"/>
                <w:sz w:val="22"/>
                <w:lang w:val="ro-RO"/>
              </w:rPr>
              <w:t xml:space="preserve">, ora </w:t>
            </w:r>
            <w:r>
              <w:rPr>
                <w:rFonts w:ascii="UT Sans" w:hAnsi="UT Sans"/>
                <w:sz w:val="22"/>
                <w:lang w:val="ro-RO"/>
              </w:rPr>
              <w:t>08</w:t>
            </w:r>
            <w:r w:rsidRPr="00F20463">
              <w:rPr>
                <w:rFonts w:ascii="UT Sans" w:hAnsi="UT Sans"/>
                <w:sz w:val="22"/>
                <w:lang w:val="ro-RO"/>
              </w:rPr>
              <w:t>.</w:t>
            </w:r>
            <w:r w:rsidR="00350336">
              <w:rPr>
                <w:rFonts w:ascii="UT Sans" w:hAnsi="UT Sans"/>
                <w:sz w:val="22"/>
                <w:lang w:val="ro-RO"/>
              </w:rPr>
              <w:t>0</w:t>
            </w:r>
            <w:r w:rsidRPr="00F20463">
              <w:rPr>
                <w:rFonts w:ascii="UT Sans" w:hAnsi="UT Sans"/>
                <w:sz w:val="22"/>
                <w:lang w:val="ro-RO"/>
              </w:rPr>
              <w:t>0</w:t>
            </w:r>
          </w:p>
          <w:p w:rsidR="000E6555" w:rsidRPr="00F20463" w:rsidRDefault="000E6555" w:rsidP="000E6555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 xml:space="preserve">Proba clinică: </w:t>
            </w:r>
            <w:r w:rsidRPr="00F20463">
              <w:rPr>
                <w:rFonts w:ascii="UT Sans" w:hAnsi="UT Sans"/>
                <w:sz w:val="22"/>
                <w:lang w:val="ro-RO"/>
              </w:rPr>
              <w:t>0</w:t>
            </w:r>
            <w:r w:rsidR="00BF012F">
              <w:rPr>
                <w:rFonts w:ascii="UT Sans" w:hAnsi="UT Sans"/>
                <w:sz w:val="22"/>
                <w:lang w:val="ro-RO"/>
              </w:rPr>
              <w:t>1</w:t>
            </w:r>
            <w:r w:rsidRPr="00F20463">
              <w:rPr>
                <w:rFonts w:ascii="UT Sans" w:hAnsi="UT Sans"/>
                <w:sz w:val="22"/>
                <w:lang w:val="ro-RO"/>
              </w:rPr>
              <w:t xml:space="preserve"> Septembrie 20</w:t>
            </w:r>
            <w:r w:rsidR="00BF012F">
              <w:rPr>
                <w:rFonts w:ascii="UT Sans" w:hAnsi="UT Sans"/>
                <w:sz w:val="22"/>
                <w:lang w:val="ro-RO"/>
              </w:rPr>
              <w:t>20</w:t>
            </w:r>
            <w:r w:rsidRPr="00F20463">
              <w:rPr>
                <w:rFonts w:ascii="UT Sans" w:hAnsi="UT Sans"/>
                <w:sz w:val="22"/>
                <w:lang w:val="ro-RO"/>
              </w:rPr>
              <w:t xml:space="preserve">, ora </w:t>
            </w:r>
            <w:r w:rsidR="00BF012F">
              <w:rPr>
                <w:rFonts w:ascii="UT Sans" w:hAnsi="UT Sans"/>
                <w:sz w:val="22"/>
                <w:lang w:val="ro-RO"/>
              </w:rPr>
              <w:t>13</w:t>
            </w:r>
            <w:r w:rsidRPr="00F20463">
              <w:rPr>
                <w:rFonts w:ascii="UT Sans" w:hAnsi="UT Sans"/>
                <w:sz w:val="22"/>
                <w:lang w:val="ro-RO"/>
              </w:rPr>
              <w:t>.</w:t>
            </w:r>
            <w:r w:rsidR="006A7409">
              <w:rPr>
                <w:rFonts w:ascii="UT Sans" w:hAnsi="UT Sans"/>
                <w:sz w:val="22"/>
                <w:lang w:val="ro-RO"/>
              </w:rPr>
              <w:t>3</w:t>
            </w:r>
            <w:r w:rsidRPr="00F20463">
              <w:rPr>
                <w:rFonts w:ascii="UT Sans" w:hAnsi="UT Sans"/>
                <w:sz w:val="22"/>
                <w:lang w:val="ro-RO"/>
              </w:rPr>
              <w:t>0</w:t>
            </w:r>
          </w:p>
          <w:p w:rsidR="000E6555" w:rsidRPr="00F20463" w:rsidRDefault="000E6555" w:rsidP="00B4048F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 xml:space="preserve">Proba didactică (cursul magistral):  </w:t>
            </w:r>
            <w:r w:rsidRPr="00F20463">
              <w:rPr>
                <w:rFonts w:ascii="UT Sans" w:hAnsi="UT Sans"/>
                <w:sz w:val="22"/>
                <w:lang w:val="ro-RO"/>
              </w:rPr>
              <w:t>0</w:t>
            </w:r>
            <w:r w:rsidR="00BF012F">
              <w:rPr>
                <w:rFonts w:ascii="UT Sans" w:hAnsi="UT Sans"/>
                <w:sz w:val="22"/>
                <w:lang w:val="ro-RO"/>
              </w:rPr>
              <w:t>1</w:t>
            </w:r>
            <w:r w:rsidRPr="00F20463">
              <w:rPr>
                <w:rFonts w:ascii="UT Sans" w:hAnsi="UT Sans"/>
                <w:sz w:val="22"/>
                <w:lang w:val="ro-RO"/>
              </w:rPr>
              <w:t xml:space="preserve"> Septembrie 20</w:t>
            </w:r>
            <w:r w:rsidR="00BF012F">
              <w:rPr>
                <w:rFonts w:ascii="UT Sans" w:hAnsi="UT Sans"/>
                <w:sz w:val="22"/>
                <w:lang w:val="ro-RO"/>
              </w:rPr>
              <w:t>20</w:t>
            </w:r>
            <w:r w:rsidRPr="00F20463">
              <w:rPr>
                <w:rFonts w:ascii="UT Sans" w:hAnsi="UT Sans"/>
                <w:sz w:val="22"/>
                <w:lang w:val="ro-RO"/>
              </w:rPr>
              <w:t>, ora 1</w:t>
            </w:r>
            <w:r w:rsidR="00BF012F">
              <w:rPr>
                <w:rFonts w:ascii="UT Sans" w:hAnsi="UT Sans"/>
                <w:sz w:val="22"/>
                <w:lang w:val="ro-RO"/>
              </w:rPr>
              <w:t>5</w:t>
            </w:r>
            <w:r w:rsidRPr="00F20463">
              <w:rPr>
                <w:rFonts w:ascii="UT Sans" w:hAnsi="UT Sans"/>
                <w:sz w:val="22"/>
                <w:lang w:val="ro-RO"/>
              </w:rPr>
              <w:t>.00</w:t>
            </w:r>
          </w:p>
          <w:p w:rsidR="00066DD0" w:rsidRPr="00F20463" w:rsidRDefault="000E6555" w:rsidP="007B33B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>Prezentarea publică a planului de dezvoltare a carierei universitare</w:t>
            </w:r>
            <w:r w:rsidR="00B4048F" w:rsidRPr="00F20463">
              <w:rPr>
                <w:rFonts w:ascii="UT Sans" w:hAnsi="UT Sans"/>
                <w:b/>
                <w:sz w:val="22"/>
                <w:lang w:val="ro-RO"/>
              </w:rPr>
              <w:t xml:space="preserve">: </w:t>
            </w:r>
            <w:r w:rsidR="00B4048F" w:rsidRPr="00F20463">
              <w:rPr>
                <w:rFonts w:ascii="UT Sans" w:hAnsi="UT Sans"/>
                <w:sz w:val="22"/>
                <w:lang w:val="ro-RO"/>
              </w:rPr>
              <w:t>0</w:t>
            </w:r>
            <w:r w:rsidR="00BF012F">
              <w:rPr>
                <w:rFonts w:ascii="UT Sans" w:hAnsi="UT Sans"/>
                <w:sz w:val="22"/>
                <w:lang w:val="ro-RO"/>
              </w:rPr>
              <w:t>1</w:t>
            </w:r>
            <w:r w:rsidR="00B4048F" w:rsidRPr="00F20463">
              <w:rPr>
                <w:rFonts w:ascii="UT Sans" w:hAnsi="UT Sans"/>
                <w:sz w:val="22"/>
                <w:lang w:val="ro-RO"/>
              </w:rPr>
              <w:t xml:space="preserve"> </w:t>
            </w:r>
            <w:r w:rsidRPr="00F20463">
              <w:rPr>
                <w:rFonts w:ascii="UT Sans" w:hAnsi="UT Sans"/>
                <w:sz w:val="22"/>
                <w:lang w:val="ro-RO"/>
              </w:rPr>
              <w:t xml:space="preserve">Septembrie </w:t>
            </w:r>
            <w:r w:rsidR="00B4048F" w:rsidRPr="00F20463">
              <w:rPr>
                <w:rFonts w:ascii="UT Sans" w:hAnsi="UT Sans"/>
                <w:sz w:val="22"/>
                <w:lang w:val="ro-RO"/>
              </w:rPr>
              <w:t>20</w:t>
            </w:r>
            <w:r w:rsidR="00B930F5">
              <w:rPr>
                <w:rFonts w:ascii="UT Sans" w:hAnsi="UT Sans"/>
                <w:sz w:val="22"/>
                <w:lang w:val="ro-RO"/>
              </w:rPr>
              <w:t>20</w:t>
            </w:r>
            <w:r w:rsidR="00B4048F" w:rsidRPr="00F20463">
              <w:rPr>
                <w:rFonts w:ascii="UT Sans" w:hAnsi="UT Sans"/>
                <w:sz w:val="22"/>
                <w:lang w:val="ro-RO"/>
              </w:rPr>
              <w:t xml:space="preserve">, ora </w:t>
            </w:r>
            <w:r w:rsidRPr="00F20463">
              <w:rPr>
                <w:rFonts w:ascii="UT Sans" w:hAnsi="UT Sans"/>
                <w:sz w:val="22"/>
                <w:lang w:val="ro-RO"/>
              </w:rPr>
              <w:t>1</w:t>
            </w:r>
            <w:r w:rsidR="00BD5F1E" w:rsidRPr="00F20463">
              <w:rPr>
                <w:rFonts w:ascii="UT Sans" w:hAnsi="UT Sans"/>
                <w:sz w:val="22"/>
                <w:lang w:val="ro-RO"/>
              </w:rPr>
              <w:t>6</w:t>
            </w:r>
            <w:r w:rsidRPr="00F20463">
              <w:rPr>
                <w:rFonts w:ascii="UT Sans" w:hAnsi="UT Sans"/>
                <w:sz w:val="22"/>
                <w:lang w:val="ro-RO"/>
              </w:rPr>
              <w:t>.00</w:t>
            </w:r>
          </w:p>
        </w:tc>
      </w:tr>
      <w:tr w:rsidR="00066DD0" w:rsidRPr="00F20463" w:rsidTr="00BC2554">
        <w:trPr>
          <w:jc w:val="center"/>
        </w:trPr>
        <w:tc>
          <w:tcPr>
            <w:tcW w:w="3510" w:type="dxa"/>
            <w:shd w:val="clear" w:color="auto" w:fill="EDF6F9"/>
          </w:tcPr>
          <w:p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  <w:p w:rsidR="001C4A46" w:rsidRPr="00F20463" w:rsidRDefault="001C4A46" w:rsidP="001C4A46">
            <w:pPr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1C4A46" w:rsidRPr="00F20463" w:rsidRDefault="001C4A46" w:rsidP="001C4A46">
            <w:pPr>
              <w:rPr>
                <w:rFonts w:ascii="UT Sans" w:hAnsi="UT Sans"/>
                <w:sz w:val="22"/>
                <w:szCs w:val="22"/>
                <w:lang w:val="ro-RO"/>
              </w:rPr>
            </w:pPr>
          </w:p>
        </w:tc>
        <w:tc>
          <w:tcPr>
            <w:tcW w:w="6770" w:type="dxa"/>
            <w:shd w:val="clear" w:color="auto" w:fill="EDF6F9"/>
          </w:tcPr>
          <w:p w:rsidR="00BF012F" w:rsidRPr="00F20463" w:rsidRDefault="00BF012F" w:rsidP="00BF012F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0E6555" w:rsidRPr="00F20463" w:rsidRDefault="000E6555" w:rsidP="000E6555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Spitalul Clinic Județean de Urgență</w:t>
            </w:r>
            <w:r w:rsidR="00E35152">
              <w:rPr>
                <w:rFonts w:ascii="UT Sans" w:hAnsi="UT Sans"/>
                <w:sz w:val="22"/>
                <w:szCs w:val="22"/>
                <w:lang w:val="ro-RO"/>
              </w:rPr>
              <w:t xml:space="preserve"> Brașov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, Pavilion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Mârzescu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, Str. Alexandru Ioan Cuza, nr. 28, secția clinică Medicină Internă</w:t>
            </w:r>
            <w:r w:rsidR="00C9493B">
              <w:rPr>
                <w:rFonts w:ascii="UT Sans" w:hAnsi="UT Sans"/>
                <w:sz w:val="22"/>
                <w:szCs w:val="22"/>
                <w:lang w:val="ro-RO"/>
              </w:rPr>
              <w:t xml:space="preserve"> 1</w:t>
            </w:r>
          </w:p>
          <w:p w:rsidR="000E6555" w:rsidRPr="00F20463" w:rsidRDefault="000E6555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>Proba didactică (cursul magistral)</w:t>
            </w: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:rsidR="00066DD0" w:rsidRPr="00F20463" w:rsidRDefault="000E6555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>Prezentarea publică a planului de dezvoltare a carierei universitare</w:t>
            </w:r>
            <w:r w:rsidR="006A1851"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="006A1851"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:rsidR="00E52A9E" w:rsidRPr="00F20463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F20463" w:rsidSect="00A80334"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764D4" w:rsidRDefault="00E764D4" w:rsidP="001C4A46">
      <w:r>
        <w:separator/>
      </w:r>
    </w:p>
  </w:endnote>
  <w:endnote w:type="continuationSeparator" w:id="0">
    <w:p w:rsidR="00E764D4" w:rsidRDefault="00E764D4" w:rsidP="001C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 Sans Regular">
    <w:altName w:val="UT Sans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4A46" w:rsidRDefault="001C4A46">
    <w:pPr>
      <w:pStyle w:val="Subsol"/>
    </w:pPr>
    <w:r w:rsidRPr="002650DE">
      <w:rPr>
        <w:rFonts w:ascii="UT Sans" w:hAnsi="UT Sans"/>
        <w:sz w:val="20"/>
        <w:szCs w:val="20"/>
        <w:lang w:val="ro-RO"/>
      </w:rPr>
      <w:t>F09-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764D4" w:rsidRDefault="00E764D4" w:rsidP="001C4A46">
      <w:r>
        <w:separator/>
      </w:r>
    </w:p>
  </w:footnote>
  <w:footnote w:type="continuationSeparator" w:id="0">
    <w:p w:rsidR="00E764D4" w:rsidRDefault="00E764D4" w:rsidP="001C4A46">
      <w:r>
        <w:continuationSeparator/>
      </w:r>
    </w:p>
  </w:footnote>
  <w:footnote w:id="1">
    <w:p w:rsidR="001C4A46" w:rsidRDefault="001C4A46" w:rsidP="001C4A46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Referinnotdesubsol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 xml:space="preserve">Se va păstra ceea ce corespunde pentru fiecare concurs în parte. </w:t>
      </w:r>
    </w:p>
    <w:p w:rsidR="001C4A46" w:rsidRPr="00EB42F7" w:rsidRDefault="001C4A46" w:rsidP="001C4A46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Fonts w:ascii="UT Sans Regular" w:hAnsi="UT Sans Regular"/>
          <w:sz w:val="20"/>
          <w:szCs w:val="20"/>
          <w:lang w:val="ro-RO"/>
        </w:rPr>
        <w:t xml:space="preserve">N.B.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Prezentarea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publică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planului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de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dezvoltare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carierei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universitare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este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obligatorie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pentru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toate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posturile</w:t>
      </w:r>
      <w:proofErr w:type="spellEnd"/>
      <w:r>
        <w:rPr>
          <w:rFonts w:ascii="UT Sans Regular" w:hAnsi="UT Sans Regular" w:cs="Arial"/>
          <w:sz w:val="20"/>
          <w:szCs w:val="20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75E10"/>
    <w:multiLevelType w:val="hybridMultilevel"/>
    <w:tmpl w:val="BF36FD6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5120A"/>
    <w:multiLevelType w:val="hybridMultilevel"/>
    <w:tmpl w:val="643E1FE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371B68"/>
    <w:multiLevelType w:val="hybridMultilevel"/>
    <w:tmpl w:val="5B02E1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C6B56"/>
    <w:multiLevelType w:val="hybridMultilevel"/>
    <w:tmpl w:val="31C83C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3E054C">
      <w:numFmt w:val="bullet"/>
      <w:lvlText w:val="-"/>
      <w:lvlJc w:val="left"/>
      <w:pPr>
        <w:ind w:left="1440" w:hanging="360"/>
      </w:pPr>
      <w:rPr>
        <w:rFonts w:ascii="UT Sans Regular" w:eastAsia="Times New Roman" w:hAnsi="UT Sans Regular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05E05"/>
    <w:multiLevelType w:val="hybridMultilevel"/>
    <w:tmpl w:val="856862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0F">
      <w:start w:val="1"/>
      <w:numFmt w:val="decimal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DC3C34"/>
    <w:multiLevelType w:val="hybridMultilevel"/>
    <w:tmpl w:val="9FF89D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7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6"/>
  </w:num>
  <w:num w:numId="9">
    <w:abstractNumId w:val="1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AC"/>
    <w:rsid w:val="00031A15"/>
    <w:rsid w:val="00034855"/>
    <w:rsid w:val="00066DD0"/>
    <w:rsid w:val="000E30E1"/>
    <w:rsid w:val="000E6555"/>
    <w:rsid w:val="000F5BCB"/>
    <w:rsid w:val="001079CE"/>
    <w:rsid w:val="001256B4"/>
    <w:rsid w:val="00127B38"/>
    <w:rsid w:val="001376D6"/>
    <w:rsid w:val="00142309"/>
    <w:rsid w:val="001A08A8"/>
    <w:rsid w:val="001C4A46"/>
    <w:rsid w:val="001C5085"/>
    <w:rsid w:val="001D5AB6"/>
    <w:rsid w:val="0024222C"/>
    <w:rsid w:val="00285430"/>
    <w:rsid w:val="00295B29"/>
    <w:rsid w:val="002A14E5"/>
    <w:rsid w:val="002A418E"/>
    <w:rsid w:val="002C33BE"/>
    <w:rsid w:val="002C5765"/>
    <w:rsid w:val="00315EC0"/>
    <w:rsid w:val="00350336"/>
    <w:rsid w:val="00380734"/>
    <w:rsid w:val="003A4203"/>
    <w:rsid w:val="003F39FF"/>
    <w:rsid w:val="0044402E"/>
    <w:rsid w:val="0047343F"/>
    <w:rsid w:val="004945BD"/>
    <w:rsid w:val="004C6E66"/>
    <w:rsid w:val="004F6E31"/>
    <w:rsid w:val="00510E49"/>
    <w:rsid w:val="00514443"/>
    <w:rsid w:val="00556A69"/>
    <w:rsid w:val="005A5E92"/>
    <w:rsid w:val="005F578E"/>
    <w:rsid w:val="00686F6D"/>
    <w:rsid w:val="0069328A"/>
    <w:rsid w:val="00693AB8"/>
    <w:rsid w:val="006A1851"/>
    <w:rsid w:val="006A7409"/>
    <w:rsid w:val="00705D1C"/>
    <w:rsid w:val="00761820"/>
    <w:rsid w:val="00763C22"/>
    <w:rsid w:val="00763DE8"/>
    <w:rsid w:val="00795276"/>
    <w:rsid w:val="007A10C3"/>
    <w:rsid w:val="007B33B7"/>
    <w:rsid w:val="007E0ED7"/>
    <w:rsid w:val="007F6384"/>
    <w:rsid w:val="008E3999"/>
    <w:rsid w:val="00922EB1"/>
    <w:rsid w:val="009A4A70"/>
    <w:rsid w:val="009C167C"/>
    <w:rsid w:val="00A64CB6"/>
    <w:rsid w:val="00A80334"/>
    <w:rsid w:val="00A86D47"/>
    <w:rsid w:val="00A97A81"/>
    <w:rsid w:val="00AF49A9"/>
    <w:rsid w:val="00B2347D"/>
    <w:rsid w:val="00B4048F"/>
    <w:rsid w:val="00B5538E"/>
    <w:rsid w:val="00B930F5"/>
    <w:rsid w:val="00BC2554"/>
    <w:rsid w:val="00BD21D0"/>
    <w:rsid w:val="00BD5F1E"/>
    <w:rsid w:val="00BD5F7D"/>
    <w:rsid w:val="00BF012F"/>
    <w:rsid w:val="00BF7E85"/>
    <w:rsid w:val="00C2317D"/>
    <w:rsid w:val="00C9493B"/>
    <w:rsid w:val="00CC3227"/>
    <w:rsid w:val="00D23A04"/>
    <w:rsid w:val="00D60EAC"/>
    <w:rsid w:val="00DA5719"/>
    <w:rsid w:val="00DF5C13"/>
    <w:rsid w:val="00E04A93"/>
    <w:rsid w:val="00E065CE"/>
    <w:rsid w:val="00E35152"/>
    <w:rsid w:val="00E52A9E"/>
    <w:rsid w:val="00E764D4"/>
    <w:rsid w:val="00E86040"/>
    <w:rsid w:val="00F20463"/>
    <w:rsid w:val="00F23DB8"/>
    <w:rsid w:val="00F522F8"/>
    <w:rsid w:val="00F7034F"/>
    <w:rsid w:val="00F9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0C57A85A-F01A-44FD-9F0D-10AB23EC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semiHidden/>
    <w:unhideWhenUsed/>
    <w:rsid w:val="00285430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uiPriority w:val="99"/>
    <w:unhideWhenUsed/>
    <w:rsid w:val="00142309"/>
    <w:rPr>
      <w:color w:val="0000FF"/>
      <w:u w:val="single"/>
    </w:rPr>
  </w:style>
  <w:style w:type="character" w:customStyle="1" w:styleId="st">
    <w:name w:val="st"/>
    <w:basedOn w:val="Fontdeparagrafimplicit"/>
    <w:rsid w:val="00142309"/>
  </w:style>
  <w:style w:type="character" w:styleId="Accentuat">
    <w:name w:val="Emphasis"/>
    <w:basedOn w:val="Fontdeparagrafimplicit"/>
    <w:uiPriority w:val="20"/>
    <w:qFormat/>
    <w:rsid w:val="00142309"/>
    <w:rPr>
      <w:i/>
      <w:iCs/>
    </w:rPr>
  </w:style>
  <w:style w:type="paragraph" w:styleId="Antet">
    <w:name w:val="header"/>
    <w:basedOn w:val="Normal"/>
    <w:link w:val="Antet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customStyle="1" w:styleId="Char">
    <w:name w:val="Char"/>
    <w:basedOn w:val="Normal"/>
    <w:rsid w:val="001C4A46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1C4A46"/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1C4A46"/>
    <w:rPr>
      <w:rFonts w:ascii="Book Antiqua" w:eastAsia="Times New Roman" w:hAnsi="Book Antiqua"/>
      <w:sz w:val="24"/>
      <w:szCs w:val="24"/>
    </w:rPr>
  </w:style>
  <w:style w:type="character" w:styleId="Referinnotdesubsol">
    <w:name w:val="footnote reference"/>
    <w:uiPriority w:val="99"/>
    <w:unhideWhenUsed/>
    <w:rsid w:val="001C4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2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librarie.net/cautare-rezultate.php?editura_id=4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801</Words>
  <Characters>4650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 Irimie</cp:lastModifiedBy>
  <cp:revision>11</cp:revision>
  <dcterms:created xsi:type="dcterms:W3CDTF">2020-04-23T18:02:00Z</dcterms:created>
  <dcterms:modified xsi:type="dcterms:W3CDTF">2020-04-30T20:14:00Z</dcterms:modified>
</cp:coreProperties>
</file>