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80" w:type="dxa"/>
        <w:jc w:val="center"/>
        <w:tblLook w:val="04A0" w:firstRow="1" w:lastRow="0" w:firstColumn="1" w:lastColumn="0" w:noHBand="0" w:noVBand="1"/>
      </w:tblPr>
      <w:tblGrid>
        <w:gridCol w:w="3510"/>
        <w:gridCol w:w="6770"/>
      </w:tblGrid>
      <w:tr w:rsidR="00D60EAC" w:rsidRPr="00867CDD" w:rsidTr="00D60EAC">
        <w:trPr>
          <w:trHeight w:val="1155"/>
          <w:jc w:val="center"/>
        </w:trPr>
        <w:tc>
          <w:tcPr>
            <w:tcW w:w="3510" w:type="dxa"/>
            <w:tcBorders>
              <w:bottom w:val="single" w:sz="12" w:space="0" w:color="FFFFFF"/>
            </w:tcBorders>
            <w:shd w:val="clear" w:color="auto" w:fill="F2730A"/>
          </w:tcPr>
          <w:p w:rsidR="00D60EAC" w:rsidRPr="00867CDD" w:rsidRDefault="00D60EAC" w:rsidP="009C167C">
            <w:pPr>
              <w:rPr>
                <w:rFonts w:ascii="Cambria" w:hAnsi="Cambria"/>
                <w:b/>
                <w:color w:val="FFFFFF"/>
                <w:sz w:val="28"/>
                <w:szCs w:val="28"/>
                <w:lang w:val="ro-RO"/>
              </w:rPr>
            </w:pPr>
            <w:r w:rsidRPr="00867CDD">
              <w:rPr>
                <w:rFonts w:ascii="Cambria" w:hAnsi="Cambria"/>
                <w:b/>
                <w:bCs/>
                <w:color w:val="FFFFFF"/>
                <w:sz w:val="28"/>
                <w:szCs w:val="28"/>
                <w:lang w:val="ro-RO"/>
              </w:rPr>
              <w:t>Facultatea</w:t>
            </w:r>
          </w:p>
          <w:p w:rsidR="00D60EAC" w:rsidRPr="00867CDD" w:rsidRDefault="00D60EAC" w:rsidP="009C167C">
            <w:pPr>
              <w:rPr>
                <w:rFonts w:ascii="Cambria" w:hAnsi="Cambria"/>
                <w:b/>
                <w:color w:val="FFFFFF"/>
                <w:sz w:val="28"/>
                <w:szCs w:val="28"/>
                <w:lang w:val="ro-RO"/>
              </w:rPr>
            </w:pPr>
            <w:r w:rsidRPr="00867CDD">
              <w:rPr>
                <w:rFonts w:ascii="Cambria" w:hAnsi="Cambria"/>
                <w:b/>
                <w:bCs/>
                <w:color w:val="FFFFFF"/>
                <w:sz w:val="28"/>
                <w:szCs w:val="28"/>
                <w:lang w:val="ro-RO"/>
              </w:rPr>
              <w:t>Departamentul</w:t>
            </w:r>
          </w:p>
          <w:p w:rsidR="00D60EAC" w:rsidRPr="00867CDD" w:rsidRDefault="00D60EAC" w:rsidP="009C167C">
            <w:pPr>
              <w:rPr>
                <w:rFonts w:ascii="Cambria" w:hAnsi="Cambria"/>
                <w:b/>
                <w:color w:val="FFFFFF"/>
                <w:sz w:val="28"/>
                <w:szCs w:val="28"/>
                <w:lang w:val="ro-RO"/>
              </w:rPr>
            </w:pPr>
            <w:r w:rsidRPr="00867CDD">
              <w:rPr>
                <w:rFonts w:ascii="Cambria" w:hAnsi="Cambria"/>
                <w:b/>
                <w:bCs/>
                <w:color w:val="FFFFFF"/>
                <w:sz w:val="28"/>
                <w:szCs w:val="28"/>
                <w:lang w:val="ro-RO"/>
              </w:rPr>
              <w:t>Postul vacant</w:t>
            </w:r>
          </w:p>
          <w:p w:rsidR="00D60EAC" w:rsidRPr="00867CDD" w:rsidRDefault="00D60EAC" w:rsidP="009C167C">
            <w:pPr>
              <w:rPr>
                <w:rFonts w:ascii="Cambria" w:hAnsi="Cambria"/>
                <w:b/>
                <w:bCs/>
                <w:color w:val="FFFFFF"/>
                <w:sz w:val="28"/>
                <w:szCs w:val="28"/>
                <w:lang w:val="ro-RO"/>
              </w:rPr>
            </w:pPr>
            <w:r w:rsidRPr="00867CDD">
              <w:rPr>
                <w:rFonts w:ascii="Cambria" w:hAnsi="Cambria"/>
                <w:b/>
                <w:bCs/>
                <w:color w:val="FFFFFF"/>
                <w:sz w:val="28"/>
                <w:szCs w:val="28"/>
                <w:lang w:val="ro-RO"/>
              </w:rPr>
              <w:t>Poziţia în statul de funcţii</w:t>
            </w:r>
          </w:p>
        </w:tc>
        <w:tc>
          <w:tcPr>
            <w:tcW w:w="6770" w:type="dxa"/>
            <w:tcBorders>
              <w:bottom w:val="single" w:sz="12" w:space="0" w:color="FFFFFF"/>
            </w:tcBorders>
            <w:shd w:val="clear" w:color="auto" w:fill="F2730A"/>
          </w:tcPr>
          <w:p w:rsidR="00D60EAC" w:rsidRPr="00867CDD" w:rsidRDefault="00C2317D" w:rsidP="009C167C">
            <w:pPr>
              <w:ind w:left="34" w:hanging="34"/>
              <w:rPr>
                <w:rFonts w:ascii="Cambria" w:hAnsi="Cambria"/>
                <w:b/>
                <w:bCs/>
                <w:color w:val="FFFFFF"/>
                <w:sz w:val="28"/>
                <w:szCs w:val="28"/>
                <w:lang w:val="ro-RO"/>
              </w:rPr>
            </w:pPr>
            <w:r w:rsidRPr="00C2317D">
              <w:rPr>
                <w:rFonts w:ascii="Cambria" w:hAnsi="Cambria"/>
                <w:b/>
                <w:bCs/>
                <w:color w:val="FFFFFF"/>
                <w:sz w:val="28"/>
                <w:szCs w:val="28"/>
                <w:lang w:val="ro-RO"/>
              </w:rPr>
              <w:t>Medicină</w:t>
            </w:r>
            <w:r w:rsidR="00D60EAC" w:rsidRPr="00867CDD">
              <w:rPr>
                <w:rFonts w:ascii="Cambria" w:hAnsi="Cambria"/>
                <w:b/>
                <w:bCs/>
                <w:color w:val="FFFFFF"/>
                <w:sz w:val="28"/>
                <w:szCs w:val="28"/>
                <w:lang w:val="ro-RO"/>
              </w:rPr>
              <w:t xml:space="preserve"> </w:t>
            </w:r>
          </w:p>
          <w:p w:rsidR="00D60EAC" w:rsidRDefault="00C2317D" w:rsidP="00C2317D">
            <w:pPr>
              <w:ind w:left="34" w:hanging="34"/>
              <w:rPr>
                <w:rFonts w:ascii="Cambria" w:hAnsi="Cambria"/>
                <w:b/>
                <w:bCs/>
                <w:color w:val="FFFFFF"/>
                <w:sz w:val="28"/>
                <w:szCs w:val="28"/>
                <w:lang w:val="ro-RO"/>
              </w:rPr>
            </w:pPr>
            <w:r w:rsidRPr="00C2317D">
              <w:rPr>
                <w:rFonts w:ascii="Cambria" w:hAnsi="Cambria"/>
                <w:b/>
                <w:bCs/>
                <w:color w:val="FFFFFF"/>
                <w:sz w:val="28"/>
                <w:szCs w:val="28"/>
                <w:lang w:val="ro-RO"/>
              </w:rPr>
              <w:t>Specialități Medicale și Chirurgicale</w:t>
            </w:r>
          </w:p>
          <w:p w:rsidR="007532E3" w:rsidRDefault="007532E3" w:rsidP="00C2317D">
            <w:pPr>
              <w:ind w:left="34" w:hanging="34"/>
              <w:rPr>
                <w:rFonts w:ascii="Cambria" w:hAnsi="Cambria"/>
                <w:b/>
                <w:bCs/>
                <w:color w:val="FFFFFF"/>
                <w:sz w:val="28"/>
                <w:szCs w:val="28"/>
                <w:lang w:val="ro-RO"/>
              </w:rPr>
            </w:pPr>
            <w:r w:rsidRPr="007532E3">
              <w:rPr>
                <w:rFonts w:ascii="Cambria" w:hAnsi="Cambria"/>
                <w:b/>
                <w:bCs/>
                <w:color w:val="FFFFFF"/>
                <w:sz w:val="28"/>
                <w:szCs w:val="28"/>
                <w:lang w:val="ro-RO"/>
              </w:rPr>
              <w:t>Conferențiar universitar</w:t>
            </w:r>
          </w:p>
          <w:p w:rsidR="007532E3" w:rsidRPr="00867CDD" w:rsidRDefault="007532E3" w:rsidP="00C2317D">
            <w:pPr>
              <w:ind w:left="34" w:hanging="34"/>
              <w:rPr>
                <w:rFonts w:ascii="Cambria" w:hAnsi="Cambria"/>
                <w:b/>
                <w:bCs/>
                <w:color w:val="FFFFFF"/>
                <w:sz w:val="28"/>
                <w:szCs w:val="28"/>
                <w:lang w:val="ro-RO"/>
              </w:rPr>
            </w:pPr>
            <w:r>
              <w:rPr>
                <w:rFonts w:ascii="Cambria" w:hAnsi="Cambria"/>
                <w:b/>
                <w:bCs/>
                <w:color w:val="FFFFFF"/>
                <w:sz w:val="28"/>
                <w:szCs w:val="28"/>
                <w:lang w:val="ro-RO"/>
              </w:rPr>
              <w:t>10</w:t>
            </w:r>
          </w:p>
        </w:tc>
      </w:tr>
      <w:tr w:rsidR="00D60EAC" w:rsidRPr="00867CDD" w:rsidTr="00D60EAC">
        <w:trPr>
          <w:trHeight w:val="1068"/>
          <w:jc w:val="center"/>
        </w:trPr>
        <w:tc>
          <w:tcPr>
            <w:tcW w:w="10280" w:type="dxa"/>
            <w:gridSpan w:val="2"/>
            <w:shd w:val="clear" w:color="auto" w:fill="DAEEF3"/>
          </w:tcPr>
          <w:p w:rsidR="00D60EAC" w:rsidRPr="00867CDD" w:rsidRDefault="00D60EAC" w:rsidP="009C167C">
            <w:pPr>
              <w:jc w:val="center"/>
              <w:rPr>
                <w:rFonts w:ascii="Cambria" w:hAnsi="Cambria"/>
                <w:b/>
                <w:bCs/>
                <w:color w:val="000000"/>
                <w:sz w:val="28"/>
                <w:szCs w:val="28"/>
                <w:lang w:val="ro-RO"/>
              </w:rPr>
            </w:pPr>
          </w:p>
          <w:p w:rsidR="00D7454C" w:rsidRPr="0002138D" w:rsidRDefault="00D7454C" w:rsidP="00D7454C">
            <w:pPr>
              <w:jc w:val="center"/>
              <w:rPr>
                <w:rFonts w:ascii="Cambria" w:hAnsi="Cambria"/>
                <w:b/>
                <w:bCs/>
                <w:color w:val="000000"/>
                <w:sz w:val="28"/>
                <w:szCs w:val="28"/>
                <w:lang w:val="ro-RO"/>
              </w:rPr>
            </w:pPr>
            <w:r w:rsidRPr="0002138D">
              <w:rPr>
                <w:rFonts w:ascii="Cambria" w:hAnsi="Cambria"/>
                <w:b/>
                <w:bCs/>
                <w:color w:val="000000"/>
                <w:sz w:val="28"/>
                <w:szCs w:val="28"/>
                <w:lang w:val="ro-RO"/>
              </w:rPr>
              <w:t>Tematica prelegerii publice</w:t>
            </w:r>
          </w:p>
          <w:p w:rsidR="00D7454C" w:rsidRPr="0002138D" w:rsidRDefault="00D7454C" w:rsidP="00D7454C">
            <w:pPr>
              <w:jc w:val="center"/>
              <w:rPr>
                <w:rFonts w:ascii="Cambria" w:hAnsi="Cambria"/>
                <w:b/>
                <w:bCs/>
                <w:color w:val="000000"/>
                <w:sz w:val="28"/>
                <w:szCs w:val="28"/>
                <w:lang w:val="ro-RO"/>
              </w:rPr>
            </w:pPr>
          </w:p>
          <w:p w:rsidR="00D7454C" w:rsidRPr="0002138D" w:rsidRDefault="00D7454C" w:rsidP="00D7454C">
            <w:pPr>
              <w:jc w:val="both"/>
              <w:rPr>
                <w:rFonts w:ascii="Cambria" w:hAnsi="Cambria"/>
                <w:bCs/>
                <w:color w:val="000000"/>
                <w:sz w:val="22"/>
                <w:szCs w:val="28"/>
                <w:lang w:val="ro-RO"/>
              </w:rPr>
            </w:pPr>
            <w:r w:rsidRPr="0002138D">
              <w:rPr>
                <w:rFonts w:ascii="Cambria" w:hAnsi="Cambria"/>
                <w:bCs/>
                <w:color w:val="000000"/>
                <w:sz w:val="22"/>
                <w:szCs w:val="28"/>
                <w:lang w:val="ro-RO"/>
              </w:rPr>
              <w:t xml:space="preserve">Prezentarea celor mai semnificative realizări profesionale anterioare, precum şi obiectivele şi perspectivele de dezvoltare proprie în cariera universitară (în domeniul didactic şi de cercetare) într-o prelegere publică de minimum 45 de minute. Această probă conţine în mod obligatoriu şi o sesiune de întrebări din partea comisiei de concurs sau a membrilor comunităţii ştiinţifice care participă la prezentare. </w:t>
            </w:r>
          </w:p>
          <w:p w:rsidR="00D7454C" w:rsidRPr="0002138D" w:rsidRDefault="00D7454C" w:rsidP="00D7454C">
            <w:pPr>
              <w:jc w:val="center"/>
              <w:rPr>
                <w:rFonts w:ascii="Cambria" w:hAnsi="Cambria"/>
                <w:b/>
                <w:bCs/>
                <w:color w:val="000000"/>
                <w:sz w:val="28"/>
                <w:szCs w:val="28"/>
                <w:lang w:val="ro-RO"/>
              </w:rPr>
            </w:pPr>
          </w:p>
          <w:p w:rsidR="00D60EAC" w:rsidRDefault="00D7454C" w:rsidP="00D7454C">
            <w:pPr>
              <w:jc w:val="center"/>
              <w:rPr>
                <w:rFonts w:ascii="Cambria" w:hAnsi="Cambria"/>
                <w:b/>
                <w:bCs/>
                <w:color w:val="000000"/>
                <w:sz w:val="28"/>
                <w:szCs w:val="28"/>
                <w:lang w:val="ro-RO"/>
              </w:rPr>
            </w:pPr>
            <w:r w:rsidRPr="0002138D">
              <w:rPr>
                <w:rFonts w:ascii="Cambria" w:hAnsi="Cambria"/>
                <w:b/>
                <w:bCs/>
                <w:color w:val="000000"/>
                <w:sz w:val="28"/>
                <w:szCs w:val="28"/>
                <w:lang w:val="ro-RO"/>
              </w:rPr>
              <w:t>Tematica probei didactice (cursului magistral)</w:t>
            </w:r>
          </w:p>
          <w:p w:rsidR="00E92892" w:rsidRPr="00867CDD" w:rsidRDefault="00E92892" w:rsidP="00D7454C">
            <w:pPr>
              <w:jc w:val="center"/>
              <w:rPr>
                <w:rFonts w:ascii="Cambria" w:hAnsi="Cambria"/>
                <w:b/>
                <w:bCs/>
                <w:color w:val="000000"/>
                <w:sz w:val="28"/>
                <w:szCs w:val="28"/>
                <w:lang w:val="ro-RO"/>
              </w:rPr>
            </w:pPr>
          </w:p>
        </w:tc>
      </w:tr>
      <w:tr w:rsidR="00D60EAC" w:rsidRPr="005C1E52" w:rsidTr="00D60EAC">
        <w:trPr>
          <w:jc w:val="center"/>
        </w:trPr>
        <w:tc>
          <w:tcPr>
            <w:tcW w:w="10280" w:type="dxa"/>
            <w:gridSpan w:val="2"/>
            <w:shd w:val="clear" w:color="auto" w:fill="DAEEF3"/>
          </w:tcPr>
          <w:p w:rsidR="00CC129A" w:rsidRPr="00CC129A" w:rsidRDefault="00D60EAC" w:rsidP="004E5C46">
            <w:pPr>
              <w:jc w:val="both"/>
              <w:rPr>
                <w:rFonts w:ascii="Cambria" w:hAnsi="Cambria"/>
                <w:b/>
                <w:lang w:val="ro-RO"/>
              </w:rPr>
            </w:pPr>
            <w:r w:rsidRPr="00867CDD">
              <w:rPr>
                <w:rFonts w:ascii="Cambria" w:hAnsi="Cambria"/>
                <w:b/>
                <w:lang w:val="ro-RO"/>
              </w:rPr>
              <w:t>1</w:t>
            </w:r>
            <w:r w:rsidR="00CC129A">
              <w:rPr>
                <w:rFonts w:ascii="Cambria" w:hAnsi="Cambria"/>
                <w:b/>
                <w:lang w:val="ro-RO"/>
              </w:rPr>
              <w:t>.</w:t>
            </w:r>
            <w:r w:rsidR="00CC129A">
              <w:t xml:space="preserve"> </w:t>
            </w:r>
            <w:r w:rsidR="00CC129A" w:rsidRPr="00CC129A">
              <w:rPr>
                <w:rFonts w:ascii="Cambria" w:hAnsi="Cambria"/>
                <w:b/>
                <w:lang w:val="ro-RO"/>
              </w:rPr>
              <w:t>Poliartrita reumatoidă</w:t>
            </w:r>
            <w:r w:rsidR="00CF569F">
              <w:rPr>
                <w:rFonts w:ascii="Cambria" w:hAnsi="Cambria"/>
                <w:b/>
                <w:lang w:val="ro-RO"/>
              </w:rPr>
              <w:t>.</w:t>
            </w:r>
          </w:p>
          <w:p w:rsidR="00CC129A" w:rsidRPr="00CC129A" w:rsidRDefault="00CC129A" w:rsidP="004E5C46">
            <w:pPr>
              <w:jc w:val="both"/>
              <w:rPr>
                <w:rFonts w:ascii="Cambria" w:hAnsi="Cambria"/>
                <w:b/>
                <w:lang w:val="ro-RO"/>
              </w:rPr>
            </w:pPr>
            <w:r w:rsidRPr="00CC129A">
              <w:rPr>
                <w:rFonts w:ascii="Cambria" w:hAnsi="Cambria"/>
                <w:b/>
                <w:lang w:val="ro-RO"/>
              </w:rPr>
              <w:t>2.</w:t>
            </w:r>
            <w:r>
              <w:rPr>
                <w:rFonts w:ascii="Cambria" w:hAnsi="Cambria"/>
                <w:b/>
                <w:lang w:val="ro-RO"/>
              </w:rPr>
              <w:t xml:space="preserve"> </w:t>
            </w:r>
            <w:r w:rsidRPr="00CC129A">
              <w:rPr>
                <w:rFonts w:ascii="Cambria" w:hAnsi="Cambria"/>
                <w:b/>
                <w:lang w:val="ro-RO"/>
              </w:rPr>
              <w:t>Spondilita anchilozantă</w:t>
            </w:r>
            <w:r w:rsidR="00CF569F">
              <w:rPr>
                <w:rFonts w:ascii="Cambria" w:hAnsi="Cambria"/>
                <w:b/>
                <w:lang w:val="ro-RO"/>
              </w:rPr>
              <w:t>.</w:t>
            </w:r>
          </w:p>
          <w:p w:rsidR="00CC129A" w:rsidRPr="00CC129A" w:rsidRDefault="00CC129A" w:rsidP="004E5C46">
            <w:pPr>
              <w:jc w:val="both"/>
              <w:rPr>
                <w:rFonts w:ascii="Cambria" w:hAnsi="Cambria"/>
                <w:b/>
                <w:lang w:val="ro-RO"/>
              </w:rPr>
            </w:pPr>
            <w:r w:rsidRPr="00CC129A">
              <w:rPr>
                <w:rFonts w:ascii="Cambria" w:hAnsi="Cambria"/>
                <w:b/>
                <w:lang w:val="ro-RO"/>
              </w:rPr>
              <w:t>3.</w:t>
            </w:r>
            <w:r>
              <w:rPr>
                <w:rFonts w:ascii="Cambria" w:hAnsi="Cambria"/>
                <w:b/>
                <w:lang w:val="ro-RO"/>
              </w:rPr>
              <w:t xml:space="preserve"> </w:t>
            </w:r>
            <w:r w:rsidRPr="00CC129A">
              <w:rPr>
                <w:rFonts w:ascii="Cambria" w:hAnsi="Cambria"/>
                <w:b/>
                <w:lang w:val="ro-RO"/>
              </w:rPr>
              <w:t>Sindroame hemoragipare</w:t>
            </w:r>
            <w:r w:rsidR="00CF569F">
              <w:rPr>
                <w:rFonts w:ascii="Cambria" w:hAnsi="Cambria"/>
                <w:b/>
                <w:lang w:val="ro-RO"/>
              </w:rPr>
              <w:t>.</w:t>
            </w:r>
          </w:p>
          <w:p w:rsidR="00CC129A" w:rsidRPr="00CC129A" w:rsidRDefault="00CC129A" w:rsidP="004E5C46">
            <w:pPr>
              <w:jc w:val="both"/>
              <w:rPr>
                <w:rFonts w:ascii="Cambria" w:hAnsi="Cambria"/>
                <w:b/>
                <w:lang w:val="ro-RO"/>
              </w:rPr>
            </w:pPr>
            <w:r w:rsidRPr="00CC129A">
              <w:rPr>
                <w:rFonts w:ascii="Cambria" w:hAnsi="Cambria"/>
                <w:b/>
                <w:lang w:val="ro-RO"/>
              </w:rPr>
              <w:t>4.</w:t>
            </w:r>
            <w:r>
              <w:rPr>
                <w:rFonts w:ascii="Cambria" w:hAnsi="Cambria"/>
                <w:b/>
                <w:lang w:val="ro-RO"/>
              </w:rPr>
              <w:t xml:space="preserve"> </w:t>
            </w:r>
            <w:r w:rsidRPr="00CC129A">
              <w:rPr>
                <w:rFonts w:ascii="Cambria" w:hAnsi="Cambria"/>
                <w:b/>
                <w:lang w:val="ro-RO"/>
              </w:rPr>
              <w:t>Glomerulonefrite acute</w:t>
            </w:r>
            <w:r w:rsidR="00CF569F">
              <w:rPr>
                <w:rFonts w:ascii="Cambria" w:hAnsi="Cambria"/>
                <w:b/>
                <w:lang w:val="ro-RO"/>
              </w:rPr>
              <w:t>.</w:t>
            </w:r>
          </w:p>
          <w:p w:rsidR="00D60EAC" w:rsidRPr="00867CDD" w:rsidRDefault="00CC129A" w:rsidP="004E5C46">
            <w:pPr>
              <w:jc w:val="both"/>
              <w:rPr>
                <w:rFonts w:ascii="Cambria" w:hAnsi="Cambria"/>
                <w:b/>
                <w:lang w:val="ro-RO"/>
              </w:rPr>
            </w:pPr>
            <w:r w:rsidRPr="00CC129A">
              <w:rPr>
                <w:rFonts w:ascii="Cambria" w:hAnsi="Cambria"/>
                <w:b/>
                <w:lang w:val="ro-RO"/>
              </w:rPr>
              <w:t>5.</w:t>
            </w:r>
            <w:r>
              <w:rPr>
                <w:rFonts w:ascii="Cambria" w:hAnsi="Cambria"/>
                <w:b/>
                <w:lang w:val="ro-RO"/>
              </w:rPr>
              <w:t xml:space="preserve"> </w:t>
            </w:r>
            <w:r w:rsidR="00CF569F">
              <w:rPr>
                <w:rFonts w:ascii="Cambria" w:hAnsi="Cambria"/>
                <w:b/>
                <w:lang w:val="ro-RO"/>
              </w:rPr>
              <w:t>Leucemii acute.</w:t>
            </w:r>
          </w:p>
          <w:p w:rsidR="00CC129A" w:rsidRDefault="00CC129A" w:rsidP="009C167C">
            <w:pPr>
              <w:rPr>
                <w:rFonts w:ascii="Cambria" w:hAnsi="Cambria"/>
                <w:b/>
                <w:lang w:val="ro-RO"/>
              </w:rPr>
            </w:pPr>
          </w:p>
          <w:p w:rsidR="00D60EAC" w:rsidRPr="00867CDD" w:rsidRDefault="00D60EAC" w:rsidP="009C167C">
            <w:pPr>
              <w:rPr>
                <w:rFonts w:ascii="Cambria" w:hAnsi="Cambria"/>
                <w:b/>
                <w:lang w:val="ro-RO"/>
              </w:rPr>
            </w:pPr>
            <w:r w:rsidRPr="00867CDD">
              <w:rPr>
                <w:rFonts w:ascii="Cambria" w:hAnsi="Cambria"/>
                <w:b/>
                <w:lang w:val="ro-RO"/>
              </w:rPr>
              <w:t xml:space="preserve">Bibliografie </w:t>
            </w:r>
            <w:r w:rsidR="00CC129A">
              <w:rPr>
                <w:rFonts w:ascii="Cambria" w:hAnsi="Cambria"/>
                <w:b/>
                <w:lang w:val="ro-RO"/>
              </w:rPr>
              <w:t>selectivă</w:t>
            </w:r>
            <w:r w:rsidRPr="00867CDD">
              <w:rPr>
                <w:rFonts w:ascii="Cambria" w:hAnsi="Cambria"/>
                <w:b/>
                <w:lang w:val="ro-RO"/>
              </w:rPr>
              <w:t>:</w:t>
            </w:r>
          </w:p>
          <w:p w:rsidR="00D60EAC" w:rsidRPr="00867CDD" w:rsidRDefault="00D60EAC" w:rsidP="009C167C">
            <w:pPr>
              <w:rPr>
                <w:rFonts w:ascii="Cambria" w:hAnsi="Cambria"/>
                <w:sz w:val="22"/>
                <w:lang w:val="it-IT"/>
              </w:rPr>
            </w:pPr>
          </w:p>
          <w:p w:rsidR="00CF569F" w:rsidRPr="00D66B86" w:rsidRDefault="00CF569F" w:rsidP="00D66B86">
            <w:pPr>
              <w:pStyle w:val="ListParagraph"/>
              <w:numPr>
                <w:ilvl w:val="0"/>
                <w:numId w:val="4"/>
              </w:numPr>
              <w:jc w:val="both"/>
              <w:rPr>
                <w:rFonts w:ascii="Book Antiqua" w:hAnsi="Book Antiqua" w:cs="Times New Roman"/>
                <w:sz w:val="24"/>
                <w:szCs w:val="20"/>
              </w:rPr>
            </w:pPr>
            <w:r w:rsidRPr="00D66B86">
              <w:rPr>
                <w:rFonts w:ascii="Book Antiqua" w:hAnsi="Book Antiqua" w:cs="Times New Roman"/>
                <w:sz w:val="24"/>
                <w:szCs w:val="20"/>
              </w:rPr>
              <w:t>Bălanescu A. Poliartrita reumatoidă. În</w:t>
            </w:r>
            <w:r w:rsidRPr="00D66B86">
              <w:rPr>
                <w:rFonts w:ascii="Times New Roman" w:hAnsi="Times New Roman" w:cs="Times New Roman"/>
                <w:sz w:val="24"/>
                <w:szCs w:val="20"/>
              </w:rPr>
              <w:t>:</w:t>
            </w:r>
            <w:r w:rsidRPr="00D66B86">
              <w:rPr>
                <w:rFonts w:ascii="Book Antiqua" w:hAnsi="Book Antiqua" w:cs="Times New Roman"/>
                <w:sz w:val="24"/>
                <w:szCs w:val="20"/>
              </w:rPr>
              <w:t xml:space="preserve"> Ionescu R. (coord.) Esenţialul în reumatologie. Edi</w:t>
            </w:r>
            <w:r w:rsidRPr="00D66B86">
              <w:rPr>
                <w:rFonts w:ascii="Times New Roman" w:hAnsi="Times New Roman" w:cs="Times New Roman"/>
                <w:sz w:val="24"/>
                <w:szCs w:val="20"/>
              </w:rPr>
              <w:t xml:space="preserve">ția </w:t>
            </w:r>
            <w:r w:rsidRPr="00D66B86">
              <w:rPr>
                <w:rFonts w:ascii="Book Antiqua" w:hAnsi="Book Antiqua" w:cs="Times New Roman"/>
                <w:sz w:val="24"/>
                <w:szCs w:val="20"/>
              </w:rPr>
              <w:t>a 2-a, Bucure</w:t>
            </w:r>
            <w:r w:rsidRPr="00D66B86">
              <w:rPr>
                <w:rFonts w:ascii="Times New Roman" w:hAnsi="Times New Roman" w:cs="Times New Roman"/>
                <w:sz w:val="24"/>
                <w:szCs w:val="20"/>
              </w:rPr>
              <w:t xml:space="preserve">ști, </w:t>
            </w:r>
            <w:r w:rsidRPr="00D66B86">
              <w:rPr>
                <w:rFonts w:ascii="Book Antiqua" w:hAnsi="Book Antiqua" w:cs="Times New Roman"/>
                <w:sz w:val="24"/>
                <w:szCs w:val="20"/>
              </w:rPr>
              <w:t>2007</w:t>
            </w:r>
            <w:r w:rsidRPr="00D66B86">
              <w:rPr>
                <w:rFonts w:ascii="Times New Roman" w:hAnsi="Times New Roman" w:cs="Times New Roman"/>
                <w:sz w:val="24"/>
                <w:szCs w:val="20"/>
              </w:rPr>
              <w:t>:</w:t>
            </w:r>
            <w:r w:rsidRPr="00D66B86">
              <w:rPr>
                <w:rFonts w:ascii="Book Antiqua" w:hAnsi="Book Antiqua" w:cs="Times New Roman"/>
                <w:sz w:val="24"/>
                <w:szCs w:val="20"/>
              </w:rPr>
              <w:t xml:space="preserve"> 214-235.</w:t>
            </w:r>
          </w:p>
          <w:p w:rsidR="00CF569F" w:rsidRPr="00D66B86" w:rsidRDefault="00CF569F" w:rsidP="00D66B86">
            <w:pPr>
              <w:pStyle w:val="ListParagraph"/>
              <w:numPr>
                <w:ilvl w:val="0"/>
                <w:numId w:val="4"/>
              </w:numPr>
              <w:jc w:val="both"/>
              <w:rPr>
                <w:rFonts w:ascii="Book Antiqua" w:hAnsi="Book Antiqua" w:cs="Times New Roman"/>
                <w:sz w:val="24"/>
                <w:szCs w:val="20"/>
              </w:rPr>
            </w:pPr>
            <w:r w:rsidRPr="00D66B86">
              <w:rPr>
                <w:rStyle w:val="Strong"/>
                <w:rFonts w:ascii="Book Antiqua" w:hAnsi="Book Antiqua" w:cs="Times New Roman"/>
                <w:b w:val="0"/>
                <w:sz w:val="24"/>
                <w:szCs w:val="20"/>
                <w:shd w:val="clear" w:color="auto" w:fill="F7F9FF"/>
              </w:rPr>
              <w:t xml:space="preserve">ACR Recommendations for the use of non-biologic and biologic DMARDs </w:t>
            </w:r>
            <w:r w:rsidRPr="00D66B86">
              <w:rPr>
                <w:rFonts w:ascii="Book Antiqua" w:hAnsi="Book Antiqua" w:cs="Times New Roman"/>
                <w:sz w:val="24"/>
                <w:szCs w:val="20"/>
                <w:shd w:val="clear" w:color="auto" w:fill="F7F9FF"/>
              </w:rPr>
              <w:t xml:space="preserve">(Arthritis Rheum 2008; 59: 762-84). </w:t>
            </w:r>
            <w:hyperlink r:id="rId6" w:tgtFrame="_blank" w:history="1">
              <w:r w:rsidRPr="00D66B86">
                <w:rPr>
                  <w:rStyle w:val="Hyperlink"/>
                  <w:rFonts w:ascii="Book Antiqua" w:hAnsi="Book Antiqua" w:cs="Times New Roman"/>
                  <w:color w:val="auto"/>
                  <w:sz w:val="24"/>
                  <w:szCs w:val="20"/>
                  <w:shd w:val="clear" w:color="auto" w:fill="F7F9FF"/>
                </w:rPr>
                <w:t>http://www.rheumatology.org/practice/clinical/guidelines/recommendations.pdf</w:t>
              </w:r>
            </w:hyperlink>
            <w:r w:rsidRPr="00D66B86">
              <w:rPr>
                <w:rStyle w:val="apple-converted-space"/>
                <w:rFonts w:ascii="Book Antiqua" w:hAnsi="Book Antiqua" w:cs="Times New Roman"/>
                <w:sz w:val="24"/>
                <w:szCs w:val="20"/>
                <w:shd w:val="clear" w:color="auto" w:fill="F7F9FF"/>
              </w:rPr>
              <w:t> </w:t>
            </w:r>
          </w:p>
          <w:p w:rsidR="00CF569F" w:rsidRPr="00D66B86" w:rsidRDefault="00CF569F" w:rsidP="00D66B86">
            <w:pPr>
              <w:pStyle w:val="ListParagraph"/>
              <w:numPr>
                <w:ilvl w:val="0"/>
                <w:numId w:val="4"/>
              </w:numPr>
              <w:jc w:val="both"/>
              <w:rPr>
                <w:rFonts w:ascii="Book Antiqua" w:hAnsi="Book Antiqua" w:cs="Times New Roman"/>
                <w:sz w:val="24"/>
                <w:szCs w:val="20"/>
              </w:rPr>
            </w:pPr>
            <w:r w:rsidRPr="00D66B86">
              <w:rPr>
                <w:rStyle w:val="Strong"/>
                <w:rFonts w:ascii="Book Antiqua" w:hAnsi="Book Antiqua" w:cs="Times New Roman"/>
                <w:b w:val="0"/>
                <w:sz w:val="24"/>
                <w:szCs w:val="20"/>
                <w:shd w:val="clear" w:color="auto" w:fill="F7F9FF"/>
              </w:rPr>
              <w:t>EULAR recommendations for the management of early arthritis: report of a task force of the European Standing Committee for International Clinical Studies Including Therapeutics (ESCISIT</w:t>
            </w:r>
            <w:r w:rsidRPr="00D66B86">
              <w:rPr>
                <w:rStyle w:val="Strong"/>
                <w:rFonts w:ascii="Book Antiqua" w:hAnsi="Book Antiqua" w:cs="Times New Roman"/>
                <w:sz w:val="24"/>
                <w:szCs w:val="20"/>
                <w:shd w:val="clear" w:color="auto" w:fill="F7F9FF"/>
              </w:rPr>
              <w:t xml:space="preserve">) </w:t>
            </w:r>
            <w:r w:rsidRPr="00D66B86">
              <w:rPr>
                <w:rFonts w:ascii="Book Antiqua" w:hAnsi="Book Antiqua" w:cs="Times New Roman"/>
                <w:sz w:val="24"/>
                <w:szCs w:val="20"/>
                <w:shd w:val="clear" w:color="auto" w:fill="F7F9FF"/>
              </w:rPr>
              <w:t xml:space="preserve">(Ann Rheum Dis 2007; 66: 34-45). </w:t>
            </w:r>
            <w:hyperlink r:id="rId7" w:tgtFrame="_blank" w:history="1">
              <w:r w:rsidRPr="00D66B86">
                <w:rPr>
                  <w:rStyle w:val="Hyperlink"/>
                  <w:rFonts w:ascii="Book Antiqua" w:hAnsi="Book Antiqua" w:cs="Times New Roman"/>
                  <w:color w:val="auto"/>
                  <w:sz w:val="24"/>
                  <w:szCs w:val="20"/>
                  <w:shd w:val="clear" w:color="auto" w:fill="F7F9FF"/>
                </w:rPr>
                <w:t>http://ard.bmj.com/content/66/1/34.full</w:t>
              </w:r>
            </w:hyperlink>
            <w:r w:rsidRPr="00D66B86">
              <w:rPr>
                <w:rStyle w:val="apple-converted-space"/>
                <w:rFonts w:ascii="Book Antiqua" w:hAnsi="Book Antiqua" w:cs="Times New Roman"/>
                <w:sz w:val="24"/>
                <w:szCs w:val="20"/>
                <w:shd w:val="clear" w:color="auto" w:fill="F7F9FF"/>
              </w:rPr>
              <w:t> </w:t>
            </w:r>
          </w:p>
          <w:p w:rsidR="00CF569F" w:rsidRPr="00D66B86" w:rsidRDefault="00CF569F" w:rsidP="00D66B86">
            <w:pPr>
              <w:pStyle w:val="ListParagraph"/>
              <w:numPr>
                <w:ilvl w:val="0"/>
                <w:numId w:val="4"/>
              </w:numPr>
              <w:jc w:val="both"/>
              <w:rPr>
                <w:rFonts w:ascii="Book Antiqua" w:hAnsi="Book Antiqua" w:cs="Times New Roman"/>
                <w:b/>
                <w:sz w:val="24"/>
                <w:szCs w:val="20"/>
              </w:rPr>
            </w:pPr>
            <w:r w:rsidRPr="00D66B86">
              <w:rPr>
                <w:rStyle w:val="Strong"/>
                <w:rFonts w:ascii="Book Antiqua" w:hAnsi="Book Antiqua" w:cs="Times New Roman"/>
                <w:b w:val="0"/>
                <w:sz w:val="24"/>
                <w:szCs w:val="20"/>
                <w:shd w:val="clear" w:color="auto" w:fill="F7F9FF"/>
              </w:rPr>
              <w:t xml:space="preserve">EULAR recommendations for the management of rheumatoid arthritis with synthetic and biological disease-modifying antirheumatic drugs. </w:t>
            </w:r>
            <w:r w:rsidRPr="00D66B86">
              <w:rPr>
                <w:rFonts w:ascii="Book Antiqua" w:hAnsi="Book Antiqua" w:cs="Times New Roman"/>
                <w:sz w:val="24"/>
                <w:szCs w:val="20"/>
                <w:shd w:val="clear" w:color="auto" w:fill="F7F9FF"/>
              </w:rPr>
              <w:t xml:space="preserve">(Ann Rheum Dis 2010; 69: 964-75) </w:t>
            </w:r>
            <w:hyperlink r:id="rId8" w:tgtFrame="_blank" w:history="1">
              <w:r w:rsidRPr="00D66B86">
                <w:rPr>
                  <w:rStyle w:val="Hyperlink"/>
                  <w:rFonts w:ascii="Book Antiqua" w:hAnsi="Book Antiqua" w:cs="Times New Roman"/>
                  <w:color w:val="auto"/>
                  <w:sz w:val="24"/>
                  <w:szCs w:val="20"/>
                  <w:shd w:val="clear" w:color="auto" w:fill="F7F9FF"/>
                </w:rPr>
                <w:t>http://ard.bmj.com/content/69/6/964.full</w:t>
              </w:r>
            </w:hyperlink>
          </w:p>
          <w:p w:rsidR="00CF569F" w:rsidRPr="00D66B86" w:rsidRDefault="00CF569F" w:rsidP="00D66B86">
            <w:pPr>
              <w:pStyle w:val="ListParagraph"/>
              <w:numPr>
                <w:ilvl w:val="0"/>
                <w:numId w:val="4"/>
              </w:numPr>
              <w:shd w:val="clear" w:color="auto" w:fill="FFFFFF"/>
              <w:spacing w:before="270" w:after="135" w:line="240" w:lineRule="auto"/>
              <w:jc w:val="both"/>
              <w:textAlignment w:val="baseline"/>
              <w:outlineLvl w:val="0"/>
              <w:rPr>
                <w:rFonts w:ascii="Book Antiqua" w:hAnsi="Book Antiqua" w:cs="Times New Roman"/>
                <w:bCs/>
                <w:sz w:val="24"/>
                <w:szCs w:val="20"/>
                <w:shd w:val="clear" w:color="auto" w:fill="F7F9FF"/>
              </w:rPr>
            </w:pPr>
            <w:r w:rsidRPr="00D66B86">
              <w:rPr>
                <w:rFonts w:ascii="Book Antiqua" w:eastAsia="Times New Roman" w:hAnsi="Book Antiqua" w:cs="Times New Roman"/>
                <w:kern w:val="36"/>
                <w:sz w:val="24"/>
                <w:szCs w:val="20"/>
                <w:lang w:eastAsia="ro-RO"/>
              </w:rPr>
              <w:t>Stoica V., Scripcaru V. (coord.). Compendiu de specialităţi medico-chirurgicale. Volumul 2, Editura Medicală, Bucure</w:t>
            </w:r>
            <w:r w:rsidRPr="00D66B86">
              <w:rPr>
                <w:rFonts w:ascii="Times New Roman" w:eastAsia="Times New Roman" w:hAnsi="Times New Roman" w:cs="Times New Roman"/>
                <w:kern w:val="36"/>
                <w:sz w:val="24"/>
                <w:szCs w:val="20"/>
                <w:lang w:eastAsia="ro-RO"/>
              </w:rPr>
              <w:t xml:space="preserve">ști, </w:t>
            </w:r>
            <w:r w:rsidRPr="00D66B86">
              <w:rPr>
                <w:rFonts w:ascii="Book Antiqua" w:eastAsia="Times New Roman" w:hAnsi="Book Antiqua" w:cs="Times New Roman"/>
                <w:kern w:val="36"/>
                <w:sz w:val="24"/>
                <w:szCs w:val="20"/>
                <w:lang w:eastAsia="ro-RO"/>
              </w:rPr>
              <w:t>2015.</w:t>
            </w:r>
          </w:p>
          <w:p w:rsidR="00CF569F" w:rsidRPr="00D66B86" w:rsidRDefault="00CF569F" w:rsidP="00D66B86">
            <w:pPr>
              <w:pStyle w:val="ListParagraph"/>
              <w:numPr>
                <w:ilvl w:val="0"/>
                <w:numId w:val="4"/>
              </w:numPr>
              <w:shd w:val="clear" w:color="auto" w:fill="FFFFFF"/>
              <w:spacing w:before="270" w:after="135" w:line="240" w:lineRule="auto"/>
              <w:jc w:val="both"/>
              <w:textAlignment w:val="baseline"/>
              <w:outlineLvl w:val="0"/>
              <w:rPr>
                <w:rStyle w:val="apple-converted-space"/>
                <w:rFonts w:ascii="Book Antiqua" w:hAnsi="Book Antiqua" w:cs="Times New Roman"/>
                <w:sz w:val="24"/>
                <w:szCs w:val="20"/>
                <w:shd w:val="clear" w:color="auto" w:fill="F7F9FF"/>
              </w:rPr>
            </w:pPr>
            <w:r w:rsidRPr="00D66B86">
              <w:rPr>
                <w:rStyle w:val="Strong"/>
                <w:rFonts w:ascii="Book Antiqua" w:hAnsi="Book Antiqua" w:cs="Times New Roman"/>
                <w:sz w:val="24"/>
                <w:szCs w:val="20"/>
                <w:shd w:val="clear" w:color="auto" w:fill="F7F9FF"/>
              </w:rPr>
              <w:t xml:space="preserve">2010 update of the ASAS/EULAR recommendations for the management of ankylosing spondylitis </w:t>
            </w:r>
            <w:r w:rsidRPr="00D66B86">
              <w:rPr>
                <w:rFonts w:ascii="Book Antiqua" w:hAnsi="Book Antiqua" w:cs="Times New Roman"/>
                <w:sz w:val="24"/>
                <w:szCs w:val="20"/>
                <w:shd w:val="clear" w:color="auto" w:fill="F7F9FF"/>
              </w:rPr>
              <w:t xml:space="preserve">(Ann Rheum Dis 2011; 70: 896-904). </w:t>
            </w:r>
            <w:hyperlink r:id="rId9" w:tgtFrame="_blank" w:history="1">
              <w:r w:rsidRPr="00D66B86">
                <w:rPr>
                  <w:rStyle w:val="Hyperlink"/>
                  <w:rFonts w:ascii="Book Antiqua" w:hAnsi="Book Antiqua" w:cs="Times New Roman"/>
                  <w:color w:val="auto"/>
                  <w:sz w:val="24"/>
                  <w:szCs w:val="20"/>
                  <w:shd w:val="clear" w:color="auto" w:fill="F7F9FF"/>
                </w:rPr>
                <w:t>http://ard.bmj.com/content/70/6/896.full</w:t>
              </w:r>
            </w:hyperlink>
            <w:r w:rsidRPr="00D66B86">
              <w:rPr>
                <w:rStyle w:val="apple-converted-space"/>
                <w:rFonts w:ascii="Book Antiqua" w:hAnsi="Book Antiqua" w:cs="Times New Roman"/>
                <w:sz w:val="24"/>
                <w:szCs w:val="20"/>
                <w:shd w:val="clear" w:color="auto" w:fill="F7F9FF"/>
              </w:rPr>
              <w:t> </w:t>
            </w:r>
          </w:p>
          <w:p w:rsidR="00CF569F" w:rsidRPr="00D66B86" w:rsidRDefault="00CF569F" w:rsidP="00D66B86">
            <w:pPr>
              <w:pStyle w:val="ListParagraph"/>
              <w:numPr>
                <w:ilvl w:val="0"/>
                <w:numId w:val="4"/>
              </w:numPr>
              <w:shd w:val="clear" w:color="auto" w:fill="FFFFFF"/>
              <w:spacing w:before="270" w:after="135" w:line="240" w:lineRule="auto"/>
              <w:jc w:val="both"/>
              <w:textAlignment w:val="baseline"/>
              <w:outlineLvl w:val="0"/>
              <w:rPr>
                <w:rStyle w:val="Hyperlink"/>
                <w:rFonts w:ascii="Book Antiqua" w:eastAsia="Times New Roman" w:hAnsi="Book Antiqua" w:cs="Times New Roman"/>
                <w:color w:val="auto"/>
                <w:sz w:val="24"/>
                <w:szCs w:val="20"/>
                <w:u w:val="none"/>
                <w:lang w:eastAsia="ro-RO"/>
              </w:rPr>
            </w:pPr>
            <w:r w:rsidRPr="00D66B86">
              <w:rPr>
                <w:rStyle w:val="Strong"/>
                <w:rFonts w:ascii="Book Antiqua" w:hAnsi="Book Antiqua" w:cs="Times New Roman"/>
                <w:sz w:val="24"/>
                <w:szCs w:val="20"/>
                <w:shd w:val="clear" w:color="auto" w:fill="F7F9FF"/>
              </w:rPr>
              <w:t xml:space="preserve">2010 Update of the international ASAS recommendations for the use of anti-TNF agents in patients with axial spondyloarthritis </w:t>
            </w:r>
            <w:r w:rsidRPr="00D66B86">
              <w:rPr>
                <w:rFonts w:ascii="Book Antiqua" w:hAnsi="Book Antiqua" w:cs="Times New Roman"/>
                <w:sz w:val="24"/>
                <w:szCs w:val="20"/>
                <w:shd w:val="clear" w:color="auto" w:fill="F7F9FF"/>
              </w:rPr>
              <w:t xml:space="preserve">(Ann Rheum Dis 2011; 70: 905-8). </w:t>
            </w:r>
            <w:hyperlink r:id="rId10" w:tgtFrame="_blank" w:history="1">
              <w:r w:rsidRPr="00D66B86">
                <w:rPr>
                  <w:rStyle w:val="Hyperlink"/>
                  <w:rFonts w:ascii="Book Antiqua" w:hAnsi="Book Antiqua" w:cs="Times New Roman"/>
                  <w:color w:val="auto"/>
                  <w:sz w:val="24"/>
                  <w:szCs w:val="20"/>
                  <w:shd w:val="clear" w:color="auto" w:fill="F7F9FF"/>
                </w:rPr>
                <w:t>http://ard.bmj.com/content/70/6/905.short</w:t>
              </w:r>
            </w:hyperlink>
            <w:r w:rsidRPr="00D66B86">
              <w:rPr>
                <w:rStyle w:val="Hyperlink"/>
                <w:rFonts w:ascii="Book Antiqua" w:hAnsi="Book Antiqua" w:cs="Times New Roman"/>
                <w:color w:val="auto"/>
                <w:sz w:val="24"/>
                <w:szCs w:val="20"/>
                <w:shd w:val="clear" w:color="auto" w:fill="F7F9FF"/>
              </w:rPr>
              <w:t xml:space="preserve"> </w:t>
            </w:r>
          </w:p>
          <w:p w:rsidR="00CF569F" w:rsidRPr="00D66B86" w:rsidRDefault="00CF569F" w:rsidP="00D66B86">
            <w:pPr>
              <w:pStyle w:val="ListParagraph"/>
              <w:numPr>
                <w:ilvl w:val="0"/>
                <w:numId w:val="4"/>
              </w:numPr>
              <w:shd w:val="clear" w:color="auto" w:fill="FFFFFF"/>
              <w:spacing w:before="270" w:after="135" w:line="240" w:lineRule="auto"/>
              <w:jc w:val="both"/>
              <w:textAlignment w:val="baseline"/>
              <w:outlineLvl w:val="0"/>
              <w:rPr>
                <w:rFonts w:ascii="Book Antiqua" w:eastAsia="Times New Roman" w:hAnsi="Book Antiqua" w:cs="Times New Roman"/>
                <w:sz w:val="24"/>
                <w:szCs w:val="20"/>
                <w:lang w:eastAsia="ro-RO"/>
              </w:rPr>
            </w:pPr>
            <w:r w:rsidRPr="00D66B86">
              <w:rPr>
                <w:rFonts w:ascii="Book Antiqua" w:hAnsi="Book Antiqua" w:cs="Times New Roman"/>
                <w:sz w:val="24"/>
                <w:szCs w:val="20"/>
              </w:rPr>
              <w:t>Guidelines for the investigation and management of idiopathic thrombocytopenic purpura in adults, children and in pregnancy. Br J Haematol. 2003; 120(4): 574-596.</w:t>
            </w:r>
          </w:p>
          <w:p w:rsidR="00CF569F" w:rsidRPr="00D66B86" w:rsidRDefault="00CF569F" w:rsidP="00D66B86">
            <w:pPr>
              <w:pStyle w:val="ListParagraph"/>
              <w:numPr>
                <w:ilvl w:val="0"/>
                <w:numId w:val="4"/>
              </w:numPr>
              <w:shd w:val="clear" w:color="auto" w:fill="FFFFFF"/>
              <w:spacing w:before="270" w:after="135" w:line="240" w:lineRule="auto"/>
              <w:jc w:val="both"/>
              <w:textAlignment w:val="baseline"/>
              <w:outlineLvl w:val="0"/>
              <w:rPr>
                <w:rFonts w:ascii="Book Antiqua" w:hAnsi="Book Antiqua" w:cs="Times New Roman"/>
                <w:sz w:val="24"/>
                <w:szCs w:val="20"/>
              </w:rPr>
            </w:pPr>
            <w:r w:rsidRPr="00D66B86">
              <w:rPr>
                <w:rFonts w:ascii="Book Antiqua" w:eastAsia="Times New Roman" w:hAnsi="Book Antiqua" w:cs="Times New Roman"/>
                <w:sz w:val="24"/>
                <w:szCs w:val="20"/>
                <w:lang w:eastAsia="ro-RO"/>
              </w:rPr>
              <w:t xml:space="preserve">Goudemand J. Treatment of bleeding episodes occurring in patients with acquired </w:t>
            </w:r>
            <w:r w:rsidRPr="00D66B86">
              <w:rPr>
                <w:rFonts w:ascii="Book Antiqua" w:eastAsia="Times New Roman" w:hAnsi="Book Antiqua" w:cs="Times New Roman"/>
                <w:sz w:val="24"/>
                <w:szCs w:val="20"/>
                <w:lang w:eastAsia="ro-RO"/>
              </w:rPr>
              <w:lastRenderedPageBreak/>
              <w:t xml:space="preserve">haemophilia with FEIBA: the French experience. Haemophilia. 2004. </w:t>
            </w:r>
            <w:r w:rsidRPr="00D66B86">
              <w:rPr>
                <w:rFonts w:ascii="Book Antiqua" w:eastAsia="Times New Roman" w:hAnsi="Book Antiqua" w:cs="Times New Roman"/>
                <w:bCs/>
                <w:sz w:val="24"/>
                <w:szCs w:val="20"/>
                <w:lang w:eastAsia="ro-RO"/>
              </w:rPr>
              <w:t>10</w:t>
            </w:r>
            <w:r w:rsidRPr="00D66B86">
              <w:rPr>
                <w:rFonts w:ascii="Book Antiqua" w:eastAsia="Times New Roman" w:hAnsi="Book Antiqua" w:cs="Times New Roman"/>
                <w:sz w:val="24"/>
                <w:szCs w:val="20"/>
                <w:lang w:eastAsia="ro-RO"/>
              </w:rPr>
              <w:t xml:space="preserve">:14. </w:t>
            </w:r>
          </w:p>
          <w:p w:rsidR="00CF569F" w:rsidRPr="00D66B86" w:rsidRDefault="00CF569F" w:rsidP="00D66B86">
            <w:pPr>
              <w:pStyle w:val="ListParagraph"/>
              <w:numPr>
                <w:ilvl w:val="0"/>
                <w:numId w:val="4"/>
              </w:numPr>
              <w:shd w:val="clear" w:color="auto" w:fill="FFFFFF"/>
              <w:spacing w:before="270" w:after="135" w:line="240" w:lineRule="auto"/>
              <w:jc w:val="both"/>
              <w:textAlignment w:val="baseline"/>
              <w:outlineLvl w:val="0"/>
              <w:rPr>
                <w:rFonts w:ascii="Book Antiqua" w:eastAsia="Times New Roman" w:hAnsi="Book Antiqua" w:cs="Times New Roman"/>
                <w:kern w:val="36"/>
                <w:sz w:val="24"/>
                <w:szCs w:val="20"/>
                <w:lang w:eastAsia="ro-RO"/>
              </w:rPr>
            </w:pPr>
            <w:r w:rsidRPr="00D66B86">
              <w:rPr>
                <w:rFonts w:ascii="Book Antiqua" w:hAnsi="Book Antiqua" w:cs="Times New Roman"/>
                <w:sz w:val="24"/>
                <w:szCs w:val="20"/>
              </w:rPr>
              <w:t xml:space="preserve">Kidney Disease: Improving Global Outcomes (KDIGO) Glomerulonephritis Work Group. KDIGO Clinical Practice Guideline for Glomerulonephritis. Kidney inter., Suppl. 2012; 2: 139–274. </w:t>
            </w:r>
          </w:p>
          <w:p w:rsidR="00CF569F" w:rsidRPr="00D66B86" w:rsidRDefault="00CF569F" w:rsidP="00D66B86">
            <w:pPr>
              <w:pStyle w:val="ListParagraph"/>
              <w:numPr>
                <w:ilvl w:val="0"/>
                <w:numId w:val="4"/>
              </w:numPr>
              <w:shd w:val="clear" w:color="auto" w:fill="FFFFFF"/>
              <w:spacing w:before="270" w:after="135" w:line="240" w:lineRule="auto"/>
              <w:jc w:val="both"/>
              <w:textAlignment w:val="baseline"/>
              <w:outlineLvl w:val="0"/>
              <w:rPr>
                <w:rFonts w:ascii="Book Antiqua" w:hAnsi="Book Antiqua" w:cs="Times New Roman"/>
                <w:b/>
                <w:sz w:val="24"/>
                <w:szCs w:val="20"/>
              </w:rPr>
            </w:pPr>
            <w:r w:rsidRPr="00D66B86">
              <w:rPr>
                <w:rFonts w:ascii="Book Antiqua" w:eastAsia="Times New Roman" w:hAnsi="Book Antiqua" w:cs="Times New Roman"/>
                <w:kern w:val="36"/>
                <w:sz w:val="24"/>
                <w:szCs w:val="20"/>
                <w:lang w:eastAsia="ro-RO"/>
              </w:rPr>
              <w:t>Covic A., Covic M., Segall L. Manual de nefrologie. Ed. Polirom, Bucure</w:t>
            </w:r>
            <w:r w:rsidRPr="00D66B86">
              <w:rPr>
                <w:rFonts w:ascii="Times New Roman" w:eastAsia="Times New Roman" w:hAnsi="Times New Roman" w:cs="Times New Roman"/>
                <w:kern w:val="36"/>
                <w:sz w:val="24"/>
                <w:szCs w:val="20"/>
                <w:lang w:eastAsia="ro-RO"/>
              </w:rPr>
              <w:t>ș</w:t>
            </w:r>
            <w:r w:rsidRPr="00D66B86">
              <w:rPr>
                <w:rFonts w:ascii="Book Antiqua" w:eastAsia="Times New Roman" w:hAnsi="Book Antiqua" w:cs="Times New Roman"/>
                <w:kern w:val="36"/>
                <w:sz w:val="24"/>
                <w:szCs w:val="20"/>
                <w:lang w:eastAsia="ro-RO"/>
              </w:rPr>
              <w:t xml:space="preserve">ti. 2007: 1831-1850. </w:t>
            </w:r>
          </w:p>
          <w:p w:rsidR="00CF569F" w:rsidRPr="00D66B86" w:rsidRDefault="00CF569F" w:rsidP="00D66B86">
            <w:pPr>
              <w:pStyle w:val="ListParagraph"/>
              <w:numPr>
                <w:ilvl w:val="0"/>
                <w:numId w:val="4"/>
              </w:numPr>
              <w:shd w:val="clear" w:color="auto" w:fill="FFFFFF"/>
              <w:spacing w:before="270" w:after="0" w:line="360" w:lineRule="atLeast"/>
              <w:jc w:val="both"/>
              <w:textAlignment w:val="baseline"/>
              <w:outlineLvl w:val="0"/>
              <w:rPr>
                <w:rFonts w:ascii="Book Antiqua" w:eastAsia="Times New Roman" w:hAnsi="Book Antiqua" w:cs="Times New Roman"/>
                <w:sz w:val="24"/>
                <w:szCs w:val="20"/>
                <w:lang w:eastAsia="ro-RO"/>
              </w:rPr>
            </w:pPr>
            <w:r w:rsidRPr="00D66B86">
              <w:rPr>
                <w:rFonts w:ascii="Book Antiqua" w:eastAsia="Times New Roman" w:hAnsi="Book Antiqua" w:cs="Times New Roman"/>
                <w:kern w:val="36"/>
                <w:sz w:val="24"/>
                <w:szCs w:val="20"/>
                <w:lang w:eastAsia="ro-RO"/>
              </w:rPr>
              <w:t>Lewis J., Neilson E. Glomerular disease. In: Harrison’s Principles of Internal Medicine. Ed Mc Graw-Hill, New York,  2015</w:t>
            </w:r>
            <w:r w:rsidRPr="00D66B86">
              <w:rPr>
                <w:rFonts w:ascii="Times New Roman" w:eastAsia="Times New Roman" w:hAnsi="Times New Roman" w:cs="Times New Roman"/>
                <w:kern w:val="36"/>
                <w:sz w:val="24"/>
                <w:szCs w:val="20"/>
                <w:lang w:eastAsia="ro-RO"/>
              </w:rPr>
              <w:t xml:space="preserve">: </w:t>
            </w:r>
            <w:r w:rsidRPr="00D66B86">
              <w:rPr>
                <w:rFonts w:ascii="Book Antiqua" w:eastAsia="Times New Roman" w:hAnsi="Book Antiqua" w:cs="Times New Roman"/>
                <w:kern w:val="36"/>
                <w:sz w:val="24"/>
                <w:szCs w:val="20"/>
                <w:lang w:eastAsia="ro-RO"/>
              </w:rPr>
              <w:t xml:space="preserve">1831-1850. </w:t>
            </w:r>
          </w:p>
          <w:p w:rsidR="00CF569F" w:rsidRPr="00D66B86" w:rsidRDefault="00CF569F" w:rsidP="00D66B86">
            <w:pPr>
              <w:pStyle w:val="ListParagraph"/>
              <w:numPr>
                <w:ilvl w:val="0"/>
                <w:numId w:val="4"/>
              </w:numPr>
              <w:shd w:val="clear" w:color="auto" w:fill="FFFFFF"/>
              <w:spacing w:before="270" w:after="0" w:line="360" w:lineRule="atLeast"/>
              <w:jc w:val="both"/>
              <w:textAlignment w:val="baseline"/>
              <w:outlineLvl w:val="0"/>
              <w:rPr>
                <w:rStyle w:val="cit-name-surname"/>
                <w:rFonts w:ascii="Book Antiqua" w:eastAsia="Times New Roman" w:hAnsi="Book Antiqua" w:cs="Times New Roman"/>
                <w:sz w:val="24"/>
                <w:szCs w:val="20"/>
                <w:lang w:eastAsia="ro-RO"/>
              </w:rPr>
            </w:pPr>
            <w:r w:rsidRPr="00D66B86">
              <w:rPr>
                <w:rFonts w:ascii="Book Antiqua" w:eastAsia="Times New Roman" w:hAnsi="Book Antiqua" w:cs="Times New Roman"/>
                <w:sz w:val="24"/>
                <w:szCs w:val="20"/>
                <w:lang w:eastAsia="ro-RO"/>
              </w:rPr>
              <w:t xml:space="preserve">Cheson B.D., Bennett J.M., Kopecky K.J., et al. Revised recommendations of the International Working Group for diagnosis, standardization of response criteria, treatment outcomes, and reporting standards for therapeutic trials in acute myeloid leukemia. J Clin Oncol. 2003; </w:t>
            </w:r>
            <w:r w:rsidRPr="00D66B86">
              <w:rPr>
                <w:rFonts w:ascii="Book Antiqua" w:eastAsia="Times New Roman" w:hAnsi="Book Antiqua" w:cs="Times New Roman"/>
                <w:bCs/>
                <w:sz w:val="24"/>
                <w:szCs w:val="20"/>
                <w:lang w:eastAsia="ro-RO"/>
              </w:rPr>
              <w:t>21</w:t>
            </w:r>
            <w:r w:rsidRPr="00D66B86">
              <w:rPr>
                <w:rFonts w:ascii="Book Antiqua" w:eastAsia="Times New Roman" w:hAnsi="Book Antiqua" w:cs="Times New Roman"/>
                <w:sz w:val="24"/>
                <w:szCs w:val="20"/>
                <w:lang w:eastAsia="ro-RO"/>
              </w:rPr>
              <w:t>(24): 4642-4649.</w:t>
            </w:r>
            <w:r w:rsidRPr="00D66B86">
              <w:rPr>
                <w:rStyle w:val="cit-name-surname"/>
                <w:rFonts w:ascii="Book Antiqua" w:hAnsi="Book Antiqua" w:cs="Times New Roman"/>
                <w:sz w:val="24"/>
                <w:szCs w:val="20"/>
                <w:bdr w:val="none" w:sz="0" w:space="0" w:color="auto" w:frame="1"/>
              </w:rPr>
              <w:t xml:space="preserve"> </w:t>
            </w:r>
          </w:p>
          <w:p w:rsidR="00CF569F" w:rsidRPr="00D66B86" w:rsidRDefault="00CF569F" w:rsidP="00D66B86">
            <w:pPr>
              <w:pStyle w:val="ListParagraph"/>
              <w:numPr>
                <w:ilvl w:val="0"/>
                <w:numId w:val="4"/>
              </w:numPr>
              <w:shd w:val="clear" w:color="auto" w:fill="FFFFFF"/>
              <w:spacing w:before="270" w:after="0" w:line="360" w:lineRule="atLeast"/>
              <w:jc w:val="both"/>
              <w:textAlignment w:val="baseline"/>
              <w:outlineLvl w:val="0"/>
              <w:rPr>
                <w:rFonts w:ascii="Book Antiqua" w:eastAsia="Times New Roman" w:hAnsi="Book Antiqua" w:cs="Times New Roman"/>
                <w:sz w:val="24"/>
                <w:szCs w:val="20"/>
                <w:lang w:eastAsia="ro-RO"/>
              </w:rPr>
            </w:pPr>
            <w:r w:rsidRPr="00D66B86">
              <w:rPr>
                <w:rFonts w:ascii="Book Antiqua" w:eastAsia="Times New Roman" w:hAnsi="Book Antiqua" w:cs="Times New Roman"/>
                <w:sz w:val="24"/>
                <w:szCs w:val="20"/>
                <w:lang w:eastAsia="ro-RO"/>
              </w:rPr>
              <w:t xml:space="preserve">Vardiman J.W., Thiele J., Arber D.A., et al. The 2008 revision of the WHO Classification of Myeloid Neoplasms and Acute Leukemia: rationale and important changes.  Blood. 2009; </w:t>
            </w:r>
            <w:r w:rsidRPr="00D66B86">
              <w:rPr>
                <w:rFonts w:ascii="Book Antiqua" w:eastAsia="Times New Roman" w:hAnsi="Book Antiqua" w:cs="Times New Roman"/>
                <w:bCs/>
                <w:sz w:val="24"/>
                <w:szCs w:val="20"/>
                <w:lang w:eastAsia="ro-RO"/>
              </w:rPr>
              <w:t>114</w:t>
            </w:r>
            <w:r w:rsidRPr="00D66B86">
              <w:rPr>
                <w:rFonts w:ascii="Book Antiqua" w:eastAsia="Times New Roman" w:hAnsi="Book Antiqua" w:cs="Times New Roman"/>
                <w:sz w:val="24"/>
                <w:szCs w:val="20"/>
                <w:lang w:eastAsia="ro-RO"/>
              </w:rPr>
              <w:t xml:space="preserve">(5): 937-951. </w:t>
            </w:r>
          </w:p>
          <w:p w:rsidR="00CF569F" w:rsidRPr="00D66B86" w:rsidRDefault="00CF569F" w:rsidP="00D66B86">
            <w:pPr>
              <w:pStyle w:val="ListParagraph"/>
              <w:numPr>
                <w:ilvl w:val="0"/>
                <w:numId w:val="4"/>
              </w:numPr>
              <w:shd w:val="clear" w:color="auto" w:fill="FFFFFF"/>
              <w:spacing w:before="270" w:after="0" w:line="360" w:lineRule="atLeast"/>
              <w:jc w:val="both"/>
              <w:textAlignment w:val="baseline"/>
              <w:outlineLvl w:val="0"/>
              <w:rPr>
                <w:rFonts w:ascii="Book Antiqua" w:eastAsia="Times New Roman" w:hAnsi="Book Antiqua" w:cs="Times New Roman"/>
                <w:sz w:val="24"/>
                <w:szCs w:val="20"/>
                <w:lang w:eastAsia="ro-RO"/>
              </w:rPr>
            </w:pPr>
            <w:r w:rsidRPr="00D66B86">
              <w:rPr>
                <w:rFonts w:ascii="Book Antiqua" w:hAnsi="Book Antiqua" w:cs="Times New Roman"/>
                <w:sz w:val="24"/>
                <w:szCs w:val="20"/>
              </w:rPr>
              <w:t>Petrov L., Cucuianu A., Bojan A., Urian L. Hematologie clinică. Casa Căr</w:t>
            </w:r>
            <w:r w:rsidRPr="00D66B86">
              <w:rPr>
                <w:rFonts w:ascii="Times New Roman" w:hAnsi="Times New Roman" w:cs="Times New Roman"/>
                <w:sz w:val="24"/>
                <w:szCs w:val="20"/>
              </w:rPr>
              <w:t>ț</w:t>
            </w:r>
            <w:r w:rsidRPr="00D66B86">
              <w:rPr>
                <w:rFonts w:ascii="Book Antiqua" w:hAnsi="Book Antiqua" w:cs="Times New Roman"/>
                <w:sz w:val="24"/>
                <w:szCs w:val="20"/>
              </w:rPr>
              <w:t xml:space="preserve">ii de </w:t>
            </w:r>
            <w:r w:rsidRPr="00D66B86">
              <w:rPr>
                <w:rFonts w:ascii="Times New Roman" w:hAnsi="Times New Roman" w:cs="Times New Roman"/>
                <w:sz w:val="24"/>
                <w:szCs w:val="20"/>
              </w:rPr>
              <w:t>Ș</w:t>
            </w:r>
            <w:r w:rsidRPr="00D66B86">
              <w:rPr>
                <w:rFonts w:ascii="Book Antiqua" w:hAnsi="Book Antiqua" w:cs="Times New Roman"/>
                <w:sz w:val="24"/>
                <w:szCs w:val="20"/>
              </w:rPr>
              <w:t>tiin</w:t>
            </w:r>
            <w:r w:rsidRPr="00D66B86">
              <w:rPr>
                <w:rFonts w:ascii="Times New Roman" w:hAnsi="Times New Roman" w:cs="Times New Roman"/>
                <w:sz w:val="24"/>
                <w:szCs w:val="20"/>
              </w:rPr>
              <w:t>ță</w:t>
            </w:r>
            <w:r w:rsidRPr="00D66B86">
              <w:rPr>
                <w:rFonts w:ascii="Book Antiqua" w:hAnsi="Book Antiqua" w:cs="Times New Roman"/>
                <w:sz w:val="24"/>
                <w:szCs w:val="20"/>
              </w:rPr>
              <w:t xml:space="preserve"> Cluj, 2009.</w:t>
            </w:r>
          </w:p>
          <w:p w:rsidR="00D60EAC" w:rsidRPr="00CF569F" w:rsidRDefault="00D60EAC" w:rsidP="00CF569F">
            <w:pPr>
              <w:pStyle w:val="ListParagraph"/>
              <w:ind w:left="770"/>
              <w:jc w:val="both"/>
              <w:rPr>
                <w:rFonts w:ascii="Cambria" w:hAnsi="Cambria"/>
                <w:color w:val="000000"/>
              </w:rPr>
            </w:pPr>
          </w:p>
        </w:tc>
      </w:tr>
      <w:tr w:rsidR="00D60EAC" w:rsidRPr="00867CDD" w:rsidTr="00D60EAC">
        <w:trPr>
          <w:jc w:val="center"/>
        </w:trPr>
        <w:tc>
          <w:tcPr>
            <w:tcW w:w="10280" w:type="dxa"/>
            <w:gridSpan w:val="2"/>
            <w:shd w:val="clear" w:color="auto" w:fill="EDF6F9"/>
          </w:tcPr>
          <w:p w:rsidR="00D60EAC" w:rsidRPr="00867CDD" w:rsidRDefault="00D60EAC" w:rsidP="009C167C">
            <w:pPr>
              <w:jc w:val="center"/>
              <w:rPr>
                <w:rFonts w:ascii="Cambria" w:hAnsi="Cambria"/>
                <w:b/>
                <w:bCs/>
                <w:color w:val="000000"/>
                <w:sz w:val="28"/>
                <w:szCs w:val="28"/>
                <w:lang w:val="ro-RO"/>
              </w:rPr>
            </w:pPr>
          </w:p>
          <w:p w:rsidR="00D60EAC" w:rsidRPr="00867CDD" w:rsidRDefault="00D60EAC" w:rsidP="009C167C">
            <w:pPr>
              <w:jc w:val="center"/>
              <w:rPr>
                <w:rFonts w:ascii="Cambria" w:hAnsi="Cambria"/>
                <w:b/>
                <w:bCs/>
                <w:color w:val="000000"/>
                <w:sz w:val="28"/>
                <w:szCs w:val="28"/>
                <w:lang w:val="ro-RO"/>
              </w:rPr>
            </w:pPr>
            <w:r w:rsidRPr="00867CDD">
              <w:rPr>
                <w:rFonts w:ascii="Cambria" w:hAnsi="Cambria"/>
                <w:b/>
                <w:bCs/>
                <w:color w:val="000000"/>
                <w:sz w:val="28"/>
                <w:szCs w:val="28"/>
                <w:lang w:val="ro-RO"/>
              </w:rPr>
              <w:t>Desfăşurarea concursului</w:t>
            </w:r>
          </w:p>
          <w:p w:rsidR="00D60EAC" w:rsidRPr="00867CDD" w:rsidRDefault="00D60EAC" w:rsidP="009C167C">
            <w:pPr>
              <w:jc w:val="center"/>
              <w:rPr>
                <w:rFonts w:ascii="Cambria" w:hAnsi="Cambria"/>
                <w:b/>
                <w:bCs/>
                <w:color w:val="000000"/>
                <w:sz w:val="28"/>
                <w:szCs w:val="28"/>
                <w:lang w:val="ro-RO"/>
              </w:rPr>
            </w:pPr>
          </w:p>
        </w:tc>
      </w:tr>
      <w:tr w:rsidR="002F71BF" w:rsidRPr="00867CDD" w:rsidTr="00D60EAC">
        <w:trPr>
          <w:jc w:val="center"/>
        </w:trPr>
        <w:tc>
          <w:tcPr>
            <w:tcW w:w="3510" w:type="dxa"/>
            <w:shd w:val="clear" w:color="auto" w:fill="DAEEF3"/>
          </w:tcPr>
          <w:p w:rsidR="002F71BF" w:rsidRPr="00867CDD" w:rsidRDefault="002F71BF" w:rsidP="009C167C">
            <w:pPr>
              <w:rPr>
                <w:rFonts w:ascii="Cambria" w:hAnsi="Cambria"/>
                <w:b/>
                <w:bCs/>
                <w:color w:val="000000"/>
                <w:lang w:val="ro-RO"/>
              </w:rPr>
            </w:pPr>
            <w:r w:rsidRPr="00867CDD">
              <w:rPr>
                <w:rFonts w:ascii="Cambria" w:hAnsi="Cambria"/>
                <w:b/>
                <w:bCs/>
                <w:color w:val="000000"/>
                <w:lang w:val="ro-RO"/>
              </w:rPr>
              <w:t>Data şi ora</w:t>
            </w:r>
          </w:p>
        </w:tc>
        <w:tc>
          <w:tcPr>
            <w:tcW w:w="6770" w:type="dxa"/>
            <w:shd w:val="clear" w:color="auto" w:fill="DAEEF3"/>
            <w:vAlign w:val="center"/>
          </w:tcPr>
          <w:p w:rsidR="002F71BF" w:rsidRPr="00134F4C" w:rsidRDefault="002F71BF" w:rsidP="004E5C46">
            <w:pPr>
              <w:jc w:val="both"/>
              <w:rPr>
                <w:lang w:val="ro-RO"/>
              </w:rPr>
            </w:pPr>
            <w:r w:rsidRPr="00134F4C">
              <w:rPr>
                <w:b/>
                <w:lang w:val="ro-RO"/>
              </w:rPr>
              <w:t>Prelegerea publică:</w:t>
            </w:r>
            <w:r w:rsidRPr="00134F4C">
              <w:rPr>
                <w:lang w:val="ro-RO"/>
              </w:rPr>
              <w:t xml:space="preserve"> </w:t>
            </w:r>
            <w:r w:rsidR="007A4FFF" w:rsidRPr="00134F4C">
              <w:rPr>
                <w:lang w:val="ro-RO"/>
              </w:rPr>
              <w:t>04</w:t>
            </w:r>
            <w:r w:rsidRPr="00134F4C">
              <w:rPr>
                <w:lang w:val="ro-RO"/>
              </w:rPr>
              <w:t xml:space="preserve"> septembrie 201</w:t>
            </w:r>
            <w:r w:rsidR="00271615" w:rsidRPr="00134F4C">
              <w:rPr>
                <w:lang w:val="ro-RO"/>
              </w:rPr>
              <w:t>7</w:t>
            </w:r>
            <w:r w:rsidRPr="00134F4C">
              <w:rPr>
                <w:lang w:val="ro-RO"/>
              </w:rPr>
              <w:t>, ora 1</w:t>
            </w:r>
            <w:r w:rsidR="00134F4C" w:rsidRPr="00134F4C">
              <w:rPr>
                <w:lang w:val="ro-RO"/>
              </w:rPr>
              <w:t>3</w:t>
            </w:r>
            <w:r w:rsidRPr="00134F4C">
              <w:rPr>
                <w:lang w:val="ro-RO"/>
              </w:rPr>
              <w:t>.00</w:t>
            </w:r>
          </w:p>
          <w:p w:rsidR="002F71BF" w:rsidRPr="00134F4C" w:rsidRDefault="002F71BF" w:rsidP="00134F4C">
            <w:pPr>
              <w:jc w:val="both"/>
              <w:rPr>
                <w:lang w:val="ro-RO"/>
              </w:rPr>
            </w:pPr>
            <w:r w:rsidRPr="00134F4C">
              <w:rPr>
                <w:b/>
                <w:lang w:val="ro-RO"/>
              </w:rPr>
              <w:t>Proba didactică (cursul magistral):</w:t>
            </w:r>
            <w:r w:rsidRPr="00134F4C">
              <w:rPr>
                <w:lang w:val="ro-RO"/>
              </w:rPr>
              <w:t xml:space="preserve"> </w:t>
            </w:r>
            <w:r w:rsidR="007A4FFF" w:rsidRPr="00134F4C">
              <w:rPr>
                <w:lang w:val="ro-RO"/>
              </w:rPr>
              <w:t>04</w:t>
            </w:r>
            <w:r w:rsidRPr="00134F4C">
              <w:rPr>
                <w:lang w:val="ro-RO"/>
              </w:rPr>
              <w:t xml:space="preserve"> septembrie 201</w:t>
            </w:r>
            <w:r w:rsidR="00271615" w:rsidRPr="00134F4C">
              <w:rPr>
                <w:lang w:val="ro-RO"/>
              </w:rPr>
              <w:t>7</w:t>
            </w:r>
            <w:r w:rsidRPr="00134F4C">
              <w:rPr>
                <w:lang w:val="ro-RO"/>
              </w:rPr>
              <w:t>, ora 1</w:t>
            </w:r>
            <w:r w:rsidR="00134F4C" w:rsidRPr="00134F4C">
              <w:rPr>
                <w:lang w:val="ro-RO"/>
              </w:rPr>
              <w:t>4</w:t>
            </w:r>
            <w:r w:rsidRPr="00134F4C">
              <w:rPr>
                <w:lang w:val="ro-RO"/>
              </w:rPr>
              <w:t>.00</w:t>
            </w:r>
          </w:p>
        </w:tc>
      </w:tr>
      <w:tr w:rsidR="002F71BF" w:rsidRPr="00867CDD" w:rsidTr="00D60EAC">
        <w:trPr>
          <w:jc w:val="center"/>
        </w:trPr>
        <w:tc>
          <w:tcPr>
            <w:tcW w:w="3510" w:type="dxa"/>
            <w:shd w:val="clear" w:color="auto" w:fill="EDF6F9"/>
          </w:tcPr>
          <w:p w:rsidR="002F71BF" w:rsidRPr="00867CDD" w:rsidRDefault="002F71BF" w:rsidP="009C167C">
            <w:pPr>
              <w:rPr>
                <w:rFonts w:ascii="Cambria" w:hAnsi="Cambria"/>
                <w:b/>
                <w:bCs/>
                <w:color w:val="000000"/>
                <w:lang w:val="ro-RO"/>
              </w:rPr>
            </w:pPr>
            <w:r w:rsidRPr="00867CDD">
              <w:rPr>
                <w:rFonts w:ascii="Cambria" w:hAnsi="Cambria"/>
                <w:b/>
                <w:bCs/>
                <w:color w:val="000000"/>
                <w:lang w:val="ro-RO"/>
              </w:rPr>
              <w:t xml:space="preserve">Locul </w:t>
            </w:r>
          </w:p>
        </w:tc>
        <w:tc>
          <w:tcPr>
            <w:tcW w:w="6770" w:type="dxa"/>
            <w:shd w:val="clear" w:color="auto" w:fill="EDF6F9"/>
            <w:vAlign w:val="center"/>
          </w:tcPr>
          <w:p w:rsidR="002F71BF" w:rsidRPr="00134F4C" w:rsidRDefault="005C1E52" w:rsidP="005C1E52">
            <w:pPr>
              <w:jc w:val="both"/>
              <w:rPr>
                <w:b/>
                <w:lang w:val="ro-RO"/>
              </w:rPr>
            </w:pPr>
            <w:r w:rsidRPr="00134F4C">
              <w:rPr>
                <w:lang w:val="ro-RO"/>
              </w:rPr>
              <w:t>Facultatea de Medicină, c</w:t>
            </w:r>
            <w:r w:rsidR="002F71BF" w:rsidRPr="00134F4C">
              <w:rPr>
                <w:lang w:val="ro-RO"/>
              </w:rPr>
              <w:t>orp K, strada Nicola</w:t>
            </w:r>
            <w:r w:rsidR="00394369" w:rsidRPr="00134F4C">
              <w:rPr>
                <w:lang w:val="ro-RO"/>
              </w:rPr>
              <w:t>e Bălcescu, nr. 56, sala: K II 7</w:t>
            </w:r>
            <w:bookmarkStart w:id="0" w:name="_GoBack"/>
            <w:bookmarkEnd w:id="0"/>
          </w:p>
        </w:tc>
      </w:tr>
    </w:tbl>
    <w:p w:rsidR="00E52A9E" w:rsidRDefault="00E52A9E"/>
    <w:sectPr w:rsidR="00E52A9E" w:rsidSect="00A8033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962EE"/>
    <w:multiLevelType w:val="hybridMultilevel"/>
    <w:tmpl w:val="2526746E"/>
    <w:lvl w:ilvl="0" w:tplc="04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
    <w:nsid w:val="2C5C1139"/>
    <w:multiLevelType w:val="hybridMultilevel"/>
    <w:tmpl w:val="C2ACF87A"/>
    <w:lvl w:ilvl="0" w:tplc="0418000F">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36145294"/>
    <w:multiLevelType w:val="hybridMultilevel"/>
    <w:tmpl w:val="82404D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6453DAA"/>
    <w:multiLevelType w:val="hybridMultilevel"/>
    <w:tmpl w:val="6E205CCA"/>
    <w:lvl w:ilvl="0" w:tplc="37BA6D4A">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EAC"/>
    <w:rsid w:val="00134F4C"/>
    <w:rsid w:val="001907C3"/>
    <w:rsid w:val="00271615"/>
    <w:rsid w:val="002C33BE"/>
    <w:rsid w:val="002F71BF"/>
    <w:rsid w:val="00394369"/>
    <w:rsid w:val="004945BD"/>
    <w:rsid w:val="004E5C46"/>
    <w:rsid w:val="005C1E52"/>
    <w:rsid w:val="007532E3"/>
    <w:rsid w:val="007A10C3"/>
    <w:rsid w:val="007A4FFF"/>
    <w:rsid w:val="009C167C"/>
    <w:rsid w:val="00A80334"/>
    <w:rsid w:val="00A86D47"/>
    <w:rsid w:val="00B2347D"/>
    <w:rsid w:val="00B639E8"/>
    <w:rsid w:val="00C2317D"/>
    <w:rsid w:val="00CC129A"/>
    <w:rsid w:val="00CF569F"/>
    <w:rsid w:val="00D60EAC"/>
    <w:rsid w:val="00D66B86"/>
    <w:rsid w:val="00D7454C"/>
    <w:rsid w:val="00DD1785"/>
    <w:rsid w:val="00E52A9E"/>
    <w:rsid w:val="00E92892"/>
    <w:rsid w:val="00F82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EAC"/>
    <w:rPr>
      <w:rFonts w:ascii="Book Antiqua" w:eastAsia="Times New Roman" w:hAnsi="Book Antiqu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569F"/>
    <w:rPr>
      <w:color w:val="0000FF"/>
      <w:u w:val="single"/>
    </w:rPr>
  </w:style>
  <w:style w:type="paragraph" w:styleId="ListParagraph">
    <w:name w:val="List Paragraph"/>
    <w:basedOn w:val="Normal"/>
    <w:uiPriority w:val="34"/>
    <w:qFormat/>
    <w:rsid w:val="00CF569F"/>
    <w:pPr>
      <w:spacing w:after="200" w:line="276" w:lineRule="auto"/>
      <w:ind w:left="720"/>
      <w:contextualSpacing/>
    </w:pPr>
    <w:rPr>
      <w:rFonts w:asciiTheme="minorHAnsi" w:eastAsiaTheme="minorHAnsi" w:hAnsiTheme="minorHAnsi" w:cstheme="minorBidi"/>
      <w:sz w:val="22"/>
      <w:szCs w:val="22"/>
      <w:lang w:val="ro-RO"/>
    </w:rPr>
  </w:style>
  <w:style w:type="character" w:styleId="Strong">
    <w:name w:val="Strong"/>
    <w:basedOn w:val="DefaultParagraphFont"/>
    <w:uiPriority w:val="22"/>
    <w:qFormat/>
    <w:rsid w:val="00CF569F"/>
    <w:rPr>
      <w:b/>
      <w:bCs/>
    </w:rPr>
  </w:style>
  <w:style w:type="character" w:customStyle="1" w:styleId="apple-converted-space">
    <w:name w:val="apple-converted-space"/>
    <w:basedOn w:val="DefaultParagraphFont"/>
    <w:rsid w:val="00CF569F"/>
  </w:style>
  <w:style w:type="character" w:customStyle="1" w:styleId="cit-name-surname">
    <w:name w:val="cit-name-surname"/>
    <w:basedOn w:val="DefaultParagraphFont"/>
    <w:rsid w:val="00CF56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EAC"/>
    <w:rPr>
      <w:rFonts w:ascii="Book Antiqua" w:eastAsia="Times New Roman" w:hAnsi="Book Antiqu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569F"/>
    <w:rPr>
      <w:color w:val="0000FF"/>
      <w:u w:val="single"/>
    </w:rPr>
  </w:style>
  <w:style w:type="paragraph" w:styleId="ListParagraph">
    <w:name w:val="List Paragraph"/>
    <w:basedOn w:val="Normal"/>
    <w:uiPriority w:val="34"/>
    <w:qFormat/>
    <w:rsid w:val="00CF569F"/>
    <w:pPr>
      <w:spacing w:after="200" w:line="276" w:lineRule="auto"/>
      <w:ind w:left="720"/>
      <w:contextualSpacing/>
    </w:pPr>
    <w:rPr>
      <w:rFonts w:asciiTheme="minorHAnsi" w:eastAsiaTheme="minorHAnsi" w:hAnsiTheme="minorHAnsi" w:cstheme="minorBidi"/>
      <w:sz w:val="22"/>
      <w:szCs w:val="22"/>
      <w:lang w:val="ro-RO"/>
    </w:rPr>
  </w:style>
  <w:style w:type="character" w:styleId="Strong">
    <w:name w:val="Strong"/>
    <w:basedOn w:val="DefaultParagraphFont"/>
    <w:uiPriority w:val="22"/>
    <w:qFormat/>
    <w:rsid w:val="00CF569F"/>
    <w:rPr>
      <w:b/>
      <w:bCs/>
    </w:rPr>
  </w:style>
  <w:style w:type="character" w:customStyle="1" w:styleId="apple-converted-space">
    <w:name w:val="apple-converted-space"/>
    <w:basedOn w:val="DefaultParagraphFont"/>
    <w:rsid w:val="00CF569F"/>
  </w:style>
  <w:style w:type="character" w:customStyle="1" w:styleId="cit-name-surname">
    <w:name w:val="cit-name-surname"/>
    <w:basedOn w:val="DefaultParagraphFont"/>
    <w:rsid w:val="00CF56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ard.bmj.com/content/69/6/964.full" TargetMode="External"/><Relationship Id="rId3" Type="http://schemas.microsoft.com/office/2007/relationships/stylesWithEffects" Target="stylesWithEffects.xml"/><Relationship Id="rId7" Type="http://schemas.openxmlformats.org/officeDocument/2006/relationships/hyperlink" Target="http://ard.bmj.com/content/66/1/34.ful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heumatology.org/practice/clinical/guidelines/recommendations.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ard.bmj.com/content/70/6/905.short" TargetMode="External"/><Relationship Id="rId4" Type="http://schemas.openxmlformats.org/officeDocument/2006/relationships/settings" Target="settings.xml"/><Relationship Id="rId9" Type="http://schemas.openxmlformats.org/officeDocument/2006/relationships/hyperlink" Target="http://ard.bmj.com/content/70/6/896.f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589</Words>
  <Characters>3422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UniTBv</Company>
  <LinksUpToDate>false</LinksUpToDate>
  <CharactersWithSpaces>4003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Gheorghe</dc:creator>
  <cp:keywords/>
  <dc:description/>
  <cp:lastModifiedBy>MariuS</cp:lastModifiedBy>
  <cp:revision>20</cp:revision>
  <dcterms:created xsi:type="dcterms:W3CDTF">2016-05-11T21:08:00Z</dcterms:created>
  <dcterms:modified xsi:type="dcterms:W3CDTF">2017-05-14T19:02:00Z</dcterms:modified>
</cp:coreProperties>
</file>