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80" w:type="dxa"/>
        <w:jc w:val="center"/>
        <w:tblLook w:val="04A0" w:firstRow="1" w:lastRow="0" w:firstColumn="1" w:lastColumn="0" w:noHBand="0" w:noVBand="1"/>
      </w:tblPr>
      <w:tblGrid>
        <w:gridCol w:w="3510"/>
        <w:gridCol w:w="6770"/>
      </w:tblGrid>
      <w:tr w:rsidR="00D60EAC" w:rsidRPr="008C0EF7" w:rsidTr="00D60EAC">
        <w:trPr>
          <w:trHeight w:val="1155"/>
          <w:jc w:val="center"/>
        </w:trPr>
        <w:tc>
          <w:tcPr>
            <w:tcW w:w="3510" w:type="dxa"/>
            <w:tcBorders>
              <w:bottom w:val="single" w:sz="12" w:space="0" w:color="FFFFFF"/>
            </w:tcBorders>
            <w:shd w:val="clear" w:color="auto" w:fill="F2730A"/>
          </w:tcPr>
          <w:p w:rsidR="00D60EAC" w:rsidRPr="008C0EF7" w:rsidRDefault="00D60EAC" w:rsidP="009C167C">
            <w:pPr>
              <w:rPr>
                <w:rFonts w:ascii="Cambria" w:hAnsi="Cambria"/>
                <w:b/>
                <w:color w:val="FFFFFF"/>
                <w:sz w:val="28"/>
                <w:szCs w:val="28"/>
                <w:lang w:val="ro-RO"/>
              </w:rPr>
            </w:pPr>
            <w:r w:rsidRPr="008C0EF7">
              <w:rPr>
                <w:rFonts w:ascii="Cambria" w:hAnsi="Cambria"/>
                <w:b/>
                <w:bCs/>
                <w:color w:val="FFFFFF"/>
                <w:sz w:val="28"/>
                <w:szCs w:val="28"/>
                <w:lang w:val="ro-RO"/>
              </w:rPr>
              <w:t>Facultatea</w:t>
            </w:r>
          </w:p>
          <w:p w:rsidR="00D60EAC" w:rsidRPr="008C0EF7" w:rsidRDefault="00D60EAC" w:rsidP="009C167C">
            <w:pPr>
              <w:rPr>
                <w:rFonts w:ascii="Cambria" w:hAnsi="Cambria"/>
                <w:b/>
                <w:color w:val="FFFFFF"/>
                <w:sz w:val="28"/>
                <w:szCs w:val="28"/>
                <w:lang w:val="ro-RO"/>
              </w:rPr>
            </w:pPr>
            <w:r w:rsidRPr="008C0EF7">
              <w:rPr>
                <w:rFonts w:ascii="Cambria" w:hAnsi="Cambria"/>
                <w:b/>
                <w:bCs/>
                <w:color w:val="FFFFFF"/>
                <w:sz w:val="28"/>
                <w:szCs w:val="28"/>
                <w:lang w:val="ro-RO"/>
              </w:rPr>
              <w:t>Departamentul</w:t>
            </w:r>
          </w:p>
          <w:p w:rsidR="00D60EAC" w:rsidRPr="008C0EF7" w:rsidRDefault="00D60EAC" w:rsidP="009C167C">
            <w:pPr>
              <w:rPr>
                <w:rFonts w:ascii="Cambria" w:hAnsi="Cambria"/>
                <w:b/>
                <w:color w:val="FFFFFF"/>
                <w:sz w:val="28"/>
                <w:szCs w:val="28"/>
                <w:lang w:val="ro-RO"/>
              </w:rPr>
            </w:pPr>
            <w:r w:rsidRPr="008C0EF7">
              <w:rPr>
                <w:rFonts w:ascii="Cambria" w:hAnsi="Cambria"/>
                <w:b/>
                <w:bCs/>
                <w:color w:val="FFFFFF"/>
                <w:sz w:val="28"/>
                <w:szCs w:val="28"/>
                <w:lang w:val="ro-RO"/>
              </w:rPr>
              <w:t>Postul vacant</w:t>
            </w:r>
          </w:p>
          <w:p w:rsidR="00D60EAC" w:rsidRPr="008C0EF7" w:rsidRDefault="00D60EAC" w:rsidP="009C167C">
            <w:pPr>
              <w:rPr>
                <w:rFonts w:ascii="Cambria" w:hAnsi="Cambria"/>
                <w:b/>
                <w:bCs/>
                <w:color w:val="FFFFFF"/>
                <w:sz w:val="28"/>
                <w:szCs w:val="28"/>
                <w:lang w:val="ro-RO"/>
              </w:rPr>
            </w:pPr>
            <w:r w:rsidRPr="008C0EF7">
              <w:rPr>
                <w:rFonts w:ascii="Cambria" w:hAnsi="Cambria"/>
                <w:b/>
                <w:bCs/>
                <w:color w:val="FFFFFF"/>
                <w:sz w:val="28"/>
                <w:szCs w:val="28"/>
                <w:lang w:val="ro-RO"/>
              </w:rPr>
              <w:t>Poziţia în statul de funcţii</w:t>
            </w:r>
          </w:p>
        </w:tc>
        <w:tc>
          <w:tcPr>
            <w:tcW w:w="6770" w:type="dxa"/>
            <w:tcBorders>
              <w:bottom w:val="single" w:sz="12" w:space="0" w:color="FFFFFF"/>
            </w:tcBorders>
            <w:shd w:val="clear" w:color="auto" w:fill="F2730A"/>
          </w:tcPr>
          <w:p w:rsidR="00D60EAC" w:rsidRPr="008C0EF7" w:rsidRDefault="003965F6" w:rsidP="009C167C">
            <w:pPr>
              <w:ind w:left="34" w:hanging="34"/>
              <w:rPr>
                <w:rFonts w:ascii="Cambria" w:hAnsi="Cambria"/>
                <w:b/>
                <w:color w:val="FFFFFF"/>
                <w:sz w:val="28"/>
                <w:szCs w:val="28"/>
                <w:lang w:val="ro-RO"/>
              </w:rPr>
            </w:pPr>
            <w:r w:rsidRPr="008C0EF7">
              <w:rPr>
                <w:rFonts w:ascii="Cambria" w:hAnsi="Cambria"/>
                <w:b/>
                <w:bCs/>
                <w:color w:val="FFFFFF"/>
                <w:sz w:val="28"/>
                <w:szCs w:val="28"/>
                <w:lang w:val="ro-RO"/>
              </w:rPr>
              <w:t>Medicină</w:t>
            </w:r>
          </w:p>
          <w:p w:rsidR="00411321" w:rsidRPr="00867CDD" w:rsidRDefault="00411321" w:rsidP="00411321">
            <w:pPr>
              <w:ind w:left="34" w:hanging="34"/>
              <w:rPr>
                <w:rFonts w:ascii="Cambria" w:hAnsi="Cambria"/>
                <w:b/>
                <w:bCs/>
                <w:color w:val="FFFFFF"/>
                <w:sz w:val="28"/>
                <w:szCs w:val="28"/>
                <w:lang w:val="ro-RO"/>
              </w:rPr>
            </w:pPr>
            <w:r>
              <w:rPr>
                <w:rFonts w:ascii="Cambria" w:hAnsi="Cambria"/>
                <w:b/>
                <w:color w:val="FFFFFF"/>
                <w:sz w:val="28"/>
                <w:szCs w:val="28"/>
                <w:lang w:val="ro-RO"/>
              </w:rPr>
              <w:t>Discipline fundamentale, profilactice și clinice</w:t>
            </w:r>
          </w:p>
          <w:p w:rsidR="00411321" w:rsidRPr="00867CDD" w:rsidRDefault="00411321" w:rsidP="00411321">
            <w:pPr>
              <w:ind w:left="34" w:hanging="34"/>
              <w:rPr>
                <w:rFonts w:ascii="Cambria" w:hAnsi="Cambria"/>
                <w:b/>
                <w:bCs/>
                <w:color w:val="FFFFFF"/>
                <w:sz w:val="28"/>
                <w:szCs w:val="28"/>
                <w:lang w:val="ro-RO"/>
              </w:rPr>
            </w:pPr>
            <w:r>
              <w:rPr>
                <w:rFonts w:ascii="Cambria" w:hAnsi="Cambria"/>
                <w:b/>
                <w:bCs/>
                <w:color w:val="FFFFFF"/>
                <w:sz w:val="28"/>
                <w:szCs w:val="28"/>
                <w:lang w:val="ro-RO"/>
              </w:rPr>
              <w:t>Șef de lucrări</w:t>
            </w:r>
          </w:p>
          <w:p w:rsidR="00D60EAC" w:rsidRPr="008C0EF7" w:rsidRDefault="003965F6" w:rsidP="009C167C">
            <w:pPr>
              <w:ind w:left="34" w:hanging="34"/>
              <w:rPr>
                <w:rFonts w:ascii="Cambria" w:hAnsi="Cambria"/>
                <w:b/>
                <w:bCs/>
                <w:color w:val="FFFFFF"/>
                <w:sz w:val="28"/>
                <w:szCs w:val="28"/>
                <w:lang w:val="ro-RO"/>
              </w:rPr>
            </w:pPr>
            <w:r w:rsidRPr="008C0EF7">
              <w:rPr>
                <w:rFonts w:ascii="Cambria" w:hAnsi="Cambria"/>
                <w:b/>
                <w:bCs/>
                <w:color w:val="FFFFFF"/>
                <w:sz w:val="28"/>
                <w:szCs w:val="28"/>
                <w:lang w:val="ro-RO"/>
              </w:rPr>
              <w:t>46</w:t>
            </w:r>
          </w:p>
        </w:tc>
      </w:tr>
      <w:tr w:rsidR="00D60EAC" w:rsidRPr="008C0EF7" w:rsidTr="00D60EAC">
        <w:trPr>
          <w:trHeight w:val="1068"/>
          <w:jc w:val="center"/>
        </w:trPr>
        <w:tc>
          <w:tcPr>
            <w:tcW w:w="10280" w:type="dxa"/>
            <w:gridSpan w:val="2"/>
            <w:shd w:val="clear" w:color="auto" w:fill="DAEEF3"/>
          </w:tcPr>
          <w:p w:rsidR="008C0EF7" w:rsidRPr="008C0EF7" w:rsidRDefault="008C0EF7" w:rsidP="00B77A71">
            <w:pPr>
              <w:pStyle w:val="ListParagraph"/>
              <w:rPr>
                <w:rFonts w:ascii="Cambria" w:hAnsi="Cambria"/>
                <w:b/>
                <w:bCs/>
                <w:sz w:val="28"/>
                <w:szCs w:val="28"/>
              </w:rPr>
            </w:pPr>
          </w:p>
          <w:p w:rsidR="00D60EAC" w:rsidRPr="00411321" w:rsidRDefault="005E4701" w:rsidP="00411321">
            <w:pPr>
              <w:jc w:val="center"/>
              <w:rPr>
                <w:rFonts w:ascii="Cambria" w:hAnsi="Cambria"/>
                <w:b/>
                <w:bCs/>
                <w:color w:val="000000"/>
                <w:sz w:val="28"/>
                <w:szCs w:val="28"/>
                <w:lang w:val="ro-RO"/>
              </w:rPr>
            </w:pPr>
            <w:r w:rsidRPr="00411321">
              <w:rPr>
                <w:rFonts w:ascii="Cambria" w:hAnsi="Cambria"/>
                <w:b/>
                <w:bCs/>
                <w:color w:val="000000"/>
                <w:sz w:val="28"/>
                <w:szCs w:val="28"/>
                <w:lang w:val="ro-RO"/>
              </w:rPr>
              <w:t>Tematica probei scrise</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Servicii preventive la adult </w:t>
            </w:r>
            <w:r w:rsidR="00B77A71" w:rsidRPr="001579AF">
              <w:rPr>
                <w:rFonts w:asciiTheme="minorHAnsi" w:hAnsiTheme="minorHAnsi"/>
              </w:rPr>
              <w:t xml:space="preserve">și copil </w:t>
            </w:r>
          </w:p>
          <w:p w:rsidR="00B77A71" w:rsidRPr="001579AF" w:rsidRDefault="00B77A7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Ingrijiri prenatale</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Planificarea fami</w:t>
            </w:r>
            <w:r w:rsidR="00B77A71" w:rsidRPr="001579AF">
              <w:rPr>
                <w:rFonts w:asciiTheme="minorHAnsi" w:hAnsiTheme="minorHAnsi"/>
              </w:rPr>
              <w:t>lială si metode contraceptive</w:t>
            </w:r>
          </w:p>
          <w:p w:rsidR="00B77A7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color w:val="000000" w:themeColor="text1"/>
              </w:rPr>
              <w:t xml:space="preserve">Atitudinea M.F în fata unor simptome comune la adult și la copil (astenia, ameteala, cefaleea, adenopatia, tusea, dispneea, durerea toracica, palpitatiile, durerile abdominale, tulburările de tranzit, edemele, tremuraturile, hemoragiile genitale, febra, mono/poliartralgii)- </w:t>
            </w:r>
          </w:p>
          <w:p w:rsidR="005E4701" w:rsidRPr="001579AF" w:rsidRDefault="00B77A7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color w:val="000000" w:themeColor="text1"/>
              </w:rPr>
              <w:t>P</w:t>
            </w:r>
            <w:r w:rsidR="005E4701" w:rsidRPr="001579AF">
              <w:rPr>
                <w:rFonts w:asciiTheme="minorHAnsi" w:hAnsiTheme="minorHAnsi"/>
              </w:rPr>
              <w:t>rimul ajutor prespitalicesc in principalele urgente medico-chirurgicale (socul anafilactic, saltul hipertensiv, infarctul de miocard/angina instabilă, edemul pulmonar acut cardiogen,  accidentul vascular cerebral, criza de astm bronșic, convulsiile, colica biliara, colica apendiculara, colica renala, retentia acuta de urină, hemoragia digestiva superioara, epistaxisul, plăgi/contuzii</w:t>
            </w:r>
            <w:r w:rsidR="00786ED0" w:rsidRPr="001579AF">
              <w:rPr>
                <w:rFonts w:asciiTheme="minorHAnsi" w:hAnsiTheme="minorHAnsi"/>
                <w:color w:val="000000" w:themeColor="text1"/>
              </w:rPr>
              <w:t xml:space="preserve">) </w:t>
            </w:r>
          </w:p>
          <w:p w:rsidR="00B77A7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 Afectiunile respiratorii la adult si copil (infectiile acute ale cailor aeriene superioare la copil, traheobronsita, pneumoniile, bronhopatia cronica obstructiva, astmul bronsic, cancerul bronhopulmonar, tuberculoza pulmonara) </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 Afectiunile cardiovasculare la adult si copil (valvulopatiile, hipertensiunea arteriala, </w:t>
            </w:r>
            <w:r w:rsidRPr="001579AF">
              <w:rPr>
                <w:rFonts w:asciiTheme="minorHAnsi" w:hAnsiTheme="minorHAnsi"/>
                <w:color w:val="000000" w:themeColor="text1"/>
              </w:rPr>
              <w:t>angina stabilă, sindroamele coronariene acute, tulburarile de ritm cardiac, endocarditele, insuficienta cardiaca, boa</w:t>
            </w:r>
            <w:r w:rsidR="00B77A71" w:rsidRPr="001579AF">
              <w:rPr>
                <w:rFonts w:asciiTheme="minorHAnsi" w:hAnsiTheme="minorHAnsi"/>
                <w:color w:val="000000" w:themeColor="text1"/>
              </w:rPr>
              <w:t>la varicoasă și tromboflebita).</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digestive la adult si copil (sindroame dispeptice, gastritele acute si cronice, ulcerul gastro - duodenal, esofagita de reflux, cancerul gastric, hepatitele acute si cronice, cirozele, colecistitele acu</w:t>
            </w:r>
            <w:r w:rsidR="006072AC" w:rsidRPr="001579AF">
              <w:rPr>
                <w:rFonts w:asciiTheme="minorHAnsi" w:hAnsiTheme="minorHAnsi"/>
              </w:rPr>
              <w:t>te si cronice, litiaza biliara)</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Afectiunile renale la adult si copil (infectiile cailor urinare, glomerulonefritele acute si cronice, sindromul nefrotic, litiaza renala, </w:t>
            </w:r>
            <w:r w:rsidRPr="001579AF">
              <w:rPr>
                <w:rFonts w:asciiTheme="minorHAnsi" w:hAnsiTheme="minorHAnsi"/>
                <w:color w:val="000000" w:themeColor="text1"/>
              </w:rPr>
              <w:t>boala renală cronică</w:t>
            </w:r>
            <w:r w:rsidR="00B77A71" w:rsidRPr="001579AF">
              <w:rPr>
                <w:rFonts w:asciiTheme="minorHAnsi" w:hAnsiTheme="minorHAnsi"/>
              </w:rPr>
              <w:t>).</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reumatice la adult si copil (artrozele, lumbago, lombosciatica, reumatismul poliarticular acut, poliartrita reumatoida, spondilitele, lupusul eritematos sistemic)</w:t>
            </w:r>
            <w:r w:rsidR="00B77A71" w:rsidRPr="001579AF">
              <w:rPr>
                <w:rFonts w:asciiTheme="minorHAnsi" w:hAnsiTheme="minorHAnsi"/>
              </w:rPr>
              <w:t xml:space="preserve"> </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metabolice la adult si copil (diabetul zaharat, obezitatea, dislipidemiile</w:t>
            </w:r>
            <w:r w:rsidR="00B77A71" w:rsidRPr="001579AF">
              <w:rPr>
                <w:rFonts w:asciiTheme="minorHAnsi" w:hAnsiTheme="minorHAnsi"/>
              </w:rPr>
              <w:t>, hiperuricemiile si guta)</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hematologice la adult si copil (sindromul anemic, clasificarea anemiilor, anemia feripriva, leucemia limfoblastica, leucemia mieloida, coagulopatiile</w:t>
            </w:r>
            <w:r w:rsidR="00B77A71" w:rsidRPr="001579AF">
              <w:rPr>
                <w:rFonts w:asciiTheme="minorHAnsi" w:hAnsiTheme="minorHAnsi"/>
              </w:rPr>
              <w:t>)</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endocrine la adult si copil (</w:t>
            </w:r>
            <w:r w:rsidRPr="001579AF">
              <w:rPr>
                <w:rFonts w:asciiTheme="minorHAnsi" w:hAnsiTheme="minorHAnsi"/>
                <w:color w:val="000000" w:themeColor="text1"/>
              </w:rPr>
              <w:t xml:space="preserve">hipertiroidism, hipotiroidism, </w:t>
            </w:r>
            <w:r w:rsidRPr="001579AF">
              <w:rPr>
                <w:rFonts w:asciiTheme="minorHAnsi" w:hAnsiTheme="minorHAnsi"/>
              </w:rPr>
              <w:t xml:space="preserve">sindromul Cushing, </w:t>
            </w:r>
            <w:r w:rsidR="00B77A71" w:rsidRPr="001579AF">
              <w:rPr>
                <w:rFonts w:asciiTheme="minorHAnsi" w:hAnsiTheme="minorHAnsi"/>
              </w:rPr>
              <w:t xml:space="preserve">si tetania) </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neurologice la adult si copil (nevralgia de trigemen, ateroscleroza cerebrala, accidentele vasculare cerebrale, atacul ischemic tranzitor, mening</w:t>
            </w:r>
            <w:r w:rsidR="00B77A71" w:rsidRPr="001579AF">
              <w:rPr>
                <w:rFonts w:asciiTheme="minorHAnsi" w:hAnsiTheme="minorHAnsi"/>
              </w:rPr>
              <w:t>itele, epilepsia,</w:t>
            </w:r>
            <w:r w:rsidRPr="001579AF">
              <w:rPr>
                <w:rFonts w:asciiTheme="minorHAnsi" w:hAnsiTheme="minorHAnsi"/>
              </w:rPr>
              <w:t xml:space="preserve"> </w:t>
            </w:r>
            <w:r w:rsidR="00B77A71" w:rsidRPr="001579AF">
              <w:rPr>
                <w:rFonts w:asciiTheme="minorHAnsi" w:hAnsiTheme="minorHAnsi"/>
              </w:rPr>
              <w:t xml:space="preserve">boala Parkinson) </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Afectiunile psihice la adult si copil</w:t>
            </w:r>
            <w:r w:rsidR="00B77A71" w:rsidRPr="001579AF">
              <w:rPr>
                <w:rFonts w:asciiTheme="minorHAnsi" w:hAnsiTheme="minorHAnsi"/>
              </w:rPr>
              <w:t xml:space="preserve"> (</w:t>
            </w:r>
            <w:r w:rsidRPr="001579AF">
              <w:rPr>
                <w:rFonts w:asciiTheme="minorHAnsi" w:hAnsiTheme="minorHAnsi"/>
              </w:rPr>
              <w:t xml:space="preserve">deficienta mintala, tulburarile de personalitate si psihopatiile, depresia, </w:t>
            </w:r>
            <w:r w:rsidRPr="001579AF">
              <w:rPr>
                <w:rFonts w:asciiTheme="minorHAnsi" w:hAnsiTheme="minorHAnsi"/>
                <w:color w:val="000000" w:themeColor="text1"/>
              </w:rPr>
              <w:t>anxietatea, adictiile - consumul problematic de alcool, tabagismul, drogurile, sindroamele psihice de involutie</w:t>
            </w:r>
            <w:r w:rsidR="006072AC" w:rsidRPr="001579AF">
              <w:rPr>
                <w:rFonts w:asciiTheme="minorHAnsi" w:hAnsiTheme="minorHAnsi"/>
              </w:rPr>
              <w:t xml:space="preserve">). </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Afectiuni dermatologice la adult si copil (dermatitele alergice, ulcerul cronic de gamba, micozele, parazitozele cutanate si dermatitele infectioase). </w:t>
            </w:r>
          </w:p>
          <w:p w:rsidR="005E4701" w:rsidRPr="001579AF" w:rsidRDefault="006072AC"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Afecțiuni</w:t>
            </w:r>
            <w:r w:rsidR="005E4701" w:rsidRPr="001579AF">
              <w:rPr>
                <w:rFonts w:asciiTheme="minorHAnsi" w:hAnsiTheme="minorHAnsi"/>
              </w:rPr>
              <w:t xml:space="preserve"> ORL la adult si copil (anginele, otitele, mast</w:t>
            </w:r>
            <w:r w:rsidRPr="001579AF">
              <w:rPr>
                <w:rFonts w:asciiTheme="minorHAnsi" w:hAnsiTheme="minorHAnsi"/>
              </w:rPr>
              <w:t>oiditele, rinitele, sinuzitele)</w:t>
            </w:r>
          </w:p>
          <w:p w:rsidR="005E4701" w:rsidRPr="001579AF" w:rsidRDefault="006072AC"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Afecțiuni</w:t>
            </w:r>
            <w:r w:rsidR="005E4701" w:rsidRPr="001579AF">
              <w:rPr>
                <w:rFonts w:asciiTheme="minorHAnsi" w:hAnsiTheme="minorHAnsi"/>
              </w:rPr>
              <w:t xml:space="preserve"> oftalmologice (ochiul rosu, glaucomul, cata</w:t>
            </w:r>
            <w:r w:rsidRPr="001579AF">
              <w:rPr>
                <w:rFonts w:asciiTheme="minorHAnsi" w:hAnsiTheme="minorHAnsi"/>
              </w:rPr>
              <w:t>racta, traumatismele ochiului).</w:t>
            </w:r>
          </w:p>
          <w:p w:rsidR="005E4701" w:rsidRPr="001579AF" w:rsidRDefault="006072AC"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lastRenderedPageBreak/>
              <w:t>Afecțiuni</w:t>
            </w:r>
            <w:r w:rsidR="005E4701" w:rsidRPr="001579AF">
              <w:rPr>
                <w:rFonts w:asciiTheme="minorHAnsi" w:hAnsiTheme="minorHAnsi"/>
              </w:rPr>
              <w:t xml:space="preserve"> ginecologice si obstetricale (tulburarile menstruale, menopauza, infertilitatea, cancerul de sân, cancerul uterin, sarcina normala, sarcina cu risc, complicatiile sarcinii si ale naster</w:t>
            </w:r>
            <w:r w:rsidR="00350D1C" w:rsidRPr="001579AF">
              <w:rPr>
                <w:rFonts w:asciiTheme="minorHAnsi" w:hAnsiTheme="minorHAnsi"/>
              </w:rPr>
              <w:t xml:space="preserve">ii, sarcina extrauterina) </w:t>
            </w:r>
          </w:p>
          <w:p w:rsidR="005E4701" w:rsidRPr="001579AF" w:rsidRDefault="005E4701"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Boli </w:t>
            </w:r>
            <w:r w:rsidR="006072AC" w:rsidRPr="001579AF">
              <w:rPr>
                <w:rFonts w:asciiTheme="minorHAnsi" w:hAnsiTheme="minorHAnsi"/>
              </w:rPr>
              <w:t>infecțioase</w:t>
            </w:r>
            <w:r w:rsidRPr="001579AF">
              <w:rPr>
                <w:rFonts w:asciiTheme="minorHAnsi" w:hAnsiTheme="minorHAnsi"/>
              </w:rPr>
              <w:t xml:space="preserve"> la adult si copil (rubeola, rujeola, varicela, parotidita epidemica, scarlatina, mononucleoza, tusea convulsiva, hepatitele virale, toxiinfectiile alimentare, boala diareica acuta, bolile </w:t>
            </w:r>
            <w:r w:rsidR="006072AC" w:rsidRPr="001579AF">
              <w:rPr>
                <w:rFonts w:asciiTheme="minorHAnsi" w:hAnsiTheme="minorHAnsi"/>
              </w:rPr>
              <w:t>infecțioase</w:t>
            </w:r>
            <w:r w:rsidRPr="001579AF">
              <w:rPr>
                <w:rFonts w:asciiTheme="minorHAnsi" w:hAnsiTheme="minorHAnsi"/>
              </w:rPr>
              <w:t xml:space="preserve"> cu transmitere sexuala)</w:t>
            </w:r>
          </w:p>
          <w:p w:rsidR="00350D1C" w:rsidRPr="001579AF" w:rsidRDefault="00350D1C"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Afectiuni chirurgicale si ingrijiri postoperatorii (colecistita acuta litiazica, pancreatita acut, apendicita acuta, cancerul d</w:t>
            </w:r>
            <w:r w:rsidR="00B628F3" w:rsidRPr="001579AF">
              <w:rPr>
                <w:rFonts w:asciiTheme="minorHAnsi" w:hAnsiTheme="minorHAnsi"/>
              </w:rPr>
              <w:t>e colon)</w:t>
            </w:r>
          </w:p>
          <w:p w:rsidR="00350D1C" w:rsidRPr="001579AF" w:rsidRDefault="00350D1C"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 xml:space="preserve">Asistența medicală a vârstei a treia (boli frecvente, sindroamele specifice vârstei a treia, </w:t>
            </w:r>
            <w:r w:rsidR="00B628F3" w:rsidRPr="001579AF">
              <w:rPr>
                <w:rFonts w:asciiTheme="minorHAnsi" w:hAnsiTheme="minorHAnsi"/>
              </w:rPr>
              <w:t xml:space="preserve">sindromul de decondiționare) </w:t>
            </w:r>
          </w:p>
          <w:p w:rsidR="00350D1C" w:rsidRPr="001579AF" w:rsidRDefault="008C0EF7"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Îngrijiri</w:t>
            </w:r>
            <w:r w:rsidR="00350D1C" w:rsidRPr="001579AF">
              <w:rPr>
                <w:rFonts w:asciiTheme="minorHAnsi" w:hAnsiTheme="minorHAnsi"/>
              </w:rPr>
              <w:t xml:space="preserve"> paleative (tratamentul durerii, </w:t>
            </w:r>
            <w:r w:rsidRPr="001579AF">
              <w:rPr>
                <w:rFonts w:asciiTheme="minorHAnsi" w:hAnsiTheme="minorHAnsi"/>
              </w:rPr>
              <w:t>greața</w:t>
            </w:r>
            <w:r w:rsidR="00350D1C" w:rsidRPr="001579AF">
              <w:rPr>
                <w:rFonts w:asciiTheme="minorHAnsi" w:hAnsiTheme="minorHAnsi"/>
              </w:rPr>
              <w:t xml:space="preserve">, </w:t>
            </w:r>
            <w:r w:rsidRPr="001579AF">
              <w:rPr>
                <w:rFonts w:asciiTheme="minorHAnsi" w:hAnsiTheme="minorHAnsi"/>
              </w:rPr>
              <w:t>constipația</w:t>
            </w:r>
            <w:r w:rsidR="00350D1C" w:rsidRPr="001579AF">
              <w:rPr>
                <w:rFonts w:asciiTheme="minorHAnsi" w:hAnsiTheme="minorHAnsi"/>
              </w:rPr>
              <w:t xml:space="preserve">, </w:t>
            </w:r>
            <w:r w:rsidRPr="001579AF">
              <w:rPr>
                <w:rFonts w:asciiTheme="minorHAnsi" w:hAnsiTheme="minorHAnsi"/>
              </w:rPr>
              <w:t>vărsătura</w:t>
            </w:r>
            <w:r w:rsidR="00350D1C" w:rsidRPr="001579AF">
              <w:rPr>
                <w:rFonts w:asciiTheme="minorHAnsi" w:hAnsiTheme="minorHAnsi"/>
              </w:rPr>
              <w:t>,</w:t>
            </w:r>
            <w:r w:rsidR="00B628F3" w:rsidRPr="001579AF">
              <w:rPr>
                <w:rFonts w:asciiTheme="minorHAnsi" w:hAnsiTheme="minorHAnsi"/>
              </w:rPr>
              <w:t xml:space="preserve"> </w:t>
            </w:r>
            <w:r w:rsidRPr="001579AF">
              <w:rPr>
                <w:rFonts w:asciiTheme="minorHAnsi" w:hAnsiTheme="minorHAnsi"/>
              </w:rPr>
              <w:t>agitația</w:t>
            </w:r>
            <w:r w:rsidR="00B628F3" w:rsidRPr="001579AF">
              <w:rPr>
                <w:rFonts w:asciiTheme="minorHAnsi" w:hAnsiTheme="minorHAnsi"/>
              </w:rPr>
              <w:t>, dispneea, xerostomia</w:t>
            </w:r>
            <w:r w:rsidR="00DE2228" w:rsidRPr="001579AF">
              <w:rPr>
                <w:rFonts w:asciiTheme="minorHAnsi" w:hAnsiTheme="minorHAnsi"/>
              </w:rPr>
              <w:t>)</w:t>
            </w:r>
          </w:p>
          <w:p w:rsidR="001052FB" w:rsidRPr="001579AF" w:rsidRDefault="001052FB"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Planuri de îngrijire ale pacienților cu afecțiuni metabolice</w:t>
            </w:r>
          </w:p>
          <w:p w:rsidR="001052FB" w:rsidRPr="001579AF" w:rsidRDefault="001052FB"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Planuri de îngrijire ale pacienților cu demență</w:t>
            </w:r>
          </w:p>
          <w:p w:rsidR="001052FB" w:rsidRPr="001579AF" w:rsidRDefault="001052FB" w:rsidP="00411321">
            <w:pPr>
              <w:pStyle w:val="NormalWeb"/>
              <w:numPr>
                <w:ilvl w:val="0"/>
                <w:numId w:val="5"/>
              </w:numPr>
              <w:spacing w:before="0" w:after="0"/>
              <w:ind w:left="714" w:hanging="357"/>
              <w:rPr>
                <w:rFonts w:asciiTheme="minorHAnsi" w:hAnsiTheme="minorHAnsi"/>
              </w:rPr>
            </w:pPr>
            <w:r w:rsidRPr="001579AF">
              <w:rPr>
                <w:rFonts w:asciiTheme="minorHAnsi" w:hAnsiTheme="minorHAnsi"/>
              </w:rPr>
              <w:t>Planuri de îngrijire ale pacienților vârstnici cu patologie complexă</w:t>
            </w:r>
          </w:p>
          <w:p w:rsidR="00350D1C" w:rsidRPr="008C0EF7" w:rsidRDefault="00350D1C" w:rsidP="00B628F3">
            <w:pPr>
              <w:pStyle w:val="NormalWeb"/>
              <w:ind w:left="720"/>
              <w:rPr>
                <w:rFonts w:asciiTheme="minorHAnsi" w:hAnsiTheme="minorHAnsi"/>
              </w:rPr>
            </w:pPr>
          </w:p>
          <w:p w:rsidR="005E4701" w:rsidRPr="001579AF" w:rsidRDefault="005E4701" w:rsidP="005E4701">
            <w:pPr>
              <w:rPr>
                <w:rFonts w:asciiTheme="minorHAnsi" w:hAnsiTheme="minorHAnsi"/>
                <w:b/>
                <w:bCs/>
                <w:lang w:val="ro-RO"/>
              </w:rPr>
            </w:pPr>
            <w:r w:rsidRPr="001579AF">
              <w:rPr>
                <w:rFonts w:asciiTheme="minorHAnsi" w:hAnsiTheme="minorHAnsi"/>
                <w:b/>
                <w:bCs/>
                <w:lang w:val="ro-RO"/>
              </w:rPr>
              <w:t xml:space="preserve"> Bibliografie minimală</w:t>
            </w:r>
          </w:p>
          <w:p w:rsidR="005E4701" w:rsidRPr="008C0EF7" w:rsidRDefault="005E4701" w:rsidP="005E4701">
            <w:pPr>
              <w:rPr>
                <w:rFonts w:asciiTheme="minorHAnsi" w:hAnsiTheme="minorHAnsi"/>
                <w:b/>
                <w:bCs/>
                <w:color w:val="000000"/>
                <w:sz w:val="28"/>
                <w:szCs w:val="28"/>
                <w:lang w:val="ro-RO"/>
              </w:rPr>
            </w:pPr>
          </w:p>
          <w:p w:rsidR="00A84DD2" w:rsidRPr="008D0169" w:rsidRDefault="00A84DD2" w:rsidP="001579AF">
            <w:pPr>
              <w:pStyle w:val="ListParagraph"/>
              <w:numPr>
                <w:ilvl w:val="0"/>
                <w:numId w:val="6"/>
              </w:numPr>
              <w:spacing w:after="0" w:line="240" w:lineRule="auto"/>
              <w:ind w:left="743" w:right="320"/>
              <w:rPr>
                <w:rFonts w:ascii="Cambria" w:hAnsi="Cambria"/>
              </w:rPr>
            </w:pPr>
            <w:r w:rsidRPr="008D0169">
              <w:rPr>
                <w:rFonts w:ascii="Cambria" w:hAnsi="Cambria"/>
              </w:rPr>
              <w:t xml:space="preserve">Restian A. – </w:t>
            </w:r>
            <w:r w:rsidRPr="008D0169">
              <w:rPr>
                <w:rFonts w:ascii="Cambria" w:hAnsi="Cambria"/>
                <w:i/>
              </w:rPr>
              <w:t>Bazele Medicinei de Familie</w:t>
            </w:r>
            <w:r w:rsidRPr="008D0169">
              <w:rPr>
                <w:rFonts w:ascii="Cambria" w:hAnsi="Cambria"/>
              </w:rPr>
              <w:t xml:space="preserve">,vol I, II, III ediția a 3-a, Editura Medicală București, 2009. </w:t>
            </w:r>
          </w:p>
          <w:p w:rsidR="00A84DD2" w:rsidRPr="008D0169" w:rsidRDefault="00A84DD2" w:rsidP="001579AF">
            <w:pPr>
              <w:pStyle w:val="ListParagraph"/>
              <w:numPr>
                <w:ilvl w:val="0"/>
                <w:numId w:val="6"/>
              </w:numPr>
              <w:spacing w:after="0" w:line="240" w:lineRule="auto"/>
              <w:ind w:left="743" w:right="320"/>
              <w:rPr>
                <w:rStyle w:val="Bodytext4"/>
                <w:rFonts w:ascii="Cambria" w:hAnsi="Cambria"/>
                <w:sz w:val="24"/>
                <w:szCs w:val="24"/>
                <w:lang w:val="ro-RO"/>
              </w:rPr>
            </w:pPr>
            <w:r w:rsidRPr="008D0169">
              <w:rPr>
                <w:rFonts w:ascii="Cambria" w:hAnsi="Cambria"/>
              </w:rPr>
              <w:t xml:space="preserve">Matei D. – sub redacția – </w:t>
            </w:r>
            <w:r w:rsidRPr="008D0169">
              <w:rPr>
                <w:rFonts w:ascii="Cambria" w:hAnsi="Cambria"/>
                <w:i/>
              </w:rPr>
              <w:t>Esențialul în Medicina Familiei,</w:t>
            </w:r>
            <w:r w:rsidRPr="008D0169">
              <w:rPr>
                <w:rFonts w:ascii="Cambria" w:hAnsi="Cambria"/>
              </w:rPr>
              <w:t xml:space="preserve"> ediția a 3-a, Editura Medicală Amaltea București, 2016.</w:t>
            </w:r>
          </w:p>
          <w:p w:rsidR="00A84DD2" w:rsidRPr="008D0169" w:rsidRDefault="00A84DD2" w:rsidP="001579AF">
            <w:pPr>
              <w:pStyle w:val="ListParagraph"/>
              <w:numPr>
                <w:ilvl w:val="0"/>
                <w:numId w:val="6"/>
              </w:numPr>
              <w:suppressAutoHyphens/>
              <w:spacing w:after="0" w:line="240" w:lineRule="auto"/>
              <w:ind w:left="743"/>
              <w:rPr>
                <w:rFonts w:ascii="Cambria" w:hAnsi="Cambria"/>
                <w:bCs/>
              </w:rPr>
            </w:pPr>
            <w:r w:rsidRPr="008D0169">
              <w:rPr>
                <w:rFonts w:ascii="Cambria" w:hAnsi="Cambria"/>
                <w:bCs/>
              </w:rPr>
              <w:t xml:space="preserve">Ciofu E., Ciofu C. – </w:t>
            </w:r>
            <w:r w:rsidRPr="008D0169">
              <w:rPr>
                <w:rFonts w:ascii="Cambria" w:hAnsi="Cambria"/>
                <w:bCs/>
                <w:i/>
              </w:rPr>
              <w:t>Esențialul in Pediatrie,</w:t>
            </w:r>
            <w:r w:rsidRPr="008D0169">
              <w:rPr>
                <w:rFonts w:ascii="Cambria" w:hAnsi="Cambria"/>
                <w:bCs/>
              </w:rPr>
              <w:t xml:space="preserve"> ediția a 2-a, Editura Medicală Amaltea, 2002.</w:t>
            </w:r>
          </w:p>
          <w:p w:rsidR="00A84DD2" w:rsidRPr="008D0169" w:rsidRDefault="00A84DD2" w:rsidP="001579AF">
            <w:pPr>
              <w:numPr>
                <w:ilvl w:val="0"/>
                <w:numId w:val="6"/>
              </w:numPr>
              <w:suppressAutoHyphens/>
              <w:ind w:left="743"/>
              <w:rPr>
                <w:rFonts w:ascii="Cambria" w:hAnsi="Cambria"/>
                <w:lang w:val="ro-RO"/>
              </w:rPr>
            </w:pPr>
            <w:r w:rsidRPr="008D0169">
              <w:rPr>
                <w:rFonts w:ascii="Cambria" w:hAnsi="Cambria"/>
                <w:i/>
                <w:lang w:val="ro-RO"/>
              </w:rPr>
              <w:t>Ghid de prevenție, vol. 1-7,</w:t>
            </w:r>
            <w:r w:rsidRPr="008D0169">
              <w:rPr>
                <w:rFonts w:ascii="Cambria" w:hAnsi="Cambria"/>
                <w:lang w:val="ro-RO"/>
              </w:rPr>
              <w:t xml:space="preserve"> Programul RO19, Inițiative în sănătatea publică, Institutul Național de Sănătate Publică, CNSMF, ALIAT, București, 2016, </w:t>
            </w:r>
            <w:r w:rsidRPr="008D0169">
              <w:rPr>
                <w:rFonts w:ascii="Cambria" w:eastAsia="Calibri" w:hAnsi="Cambria"/>
                <w:lang w:val="ro-RO"/>
              </w:rPr>
              <w:t xml:space="preserve">ISBN 978-973-0-22796-3, ISBN 978-973-0-22797-0, ISBN 978-973-0-22798-7, ISBN 978-973-0-22799-4, ISBN 978-973-0-22800-7, ISBN 978-973-0-22801-4, ISBN 978-973-0-22802-1. </w:t>
            </w:r>
            <w:r w:rsidRPr="00A84DD2">
              <w:rPr>
                <w:rFonts w:ascii="Cambria" w:eastAsia="Calibri" w:hAnsi="Cambria"/>
                <w:lang w:val="ro-RO"/>
              </w:rPr>
              <w:t>www.cnsmf.ro/ghidpreventie</w:t>
            </w:r>
          </w:p>
          <w:p w:rsidR="00A84DD2" w:rsidRPr="008D0169" w:rsidRDefault="00A84DD2" w:rsidP="001579AF">
            <w:pPr>
              <w:numPr>
                <w:ilvl w:val="0"/>
                <w:numId w:val="6"/>
              </w:numPr>
              <w:suppressAutoHyphens/>
              <w:ind w:left="743"/>
              <w:rPr>
                <w:rFonts w:ascii="Cambria" w:hAnsi="Cambria"/>
                <w:lang w:val="ro-RO"/>
              </w:rPr>
            </w:pPr>
            <w:r w:rsidRPr="008D0169">
              <w:rPr>
                <w:rFonts w:ascii="Cambria" w:hAnsi="Cambria"/>
                <w:lang w:val="ro-RO"/>
              </w:rPr>
              <w:t>Mosoiu D, ABC-ul medicinei paliative. Editura Lux Libris, 2012</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rPr>
              <w:t>Rogozea L.: Istoria Universală a Medicinii, editura Universității Transilvania, 2003, Braşov, ISBN 973-635-222-6</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lang w:eastAsia="ro-RO"/>
              </w:rPr>
              <w:t>  Rogozea L. Oglindă T. şi colab. - Îngrijirea pacienţilor – vol. I, Ed. Romprint, 2004., ISBN 973-86350-7-1, ISBN 973-86350-8-X</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lang w:eastAsia="ro-RO"/>
              </w:rPr>
              <w:t>Rogozea L (ed.)., Oglindă T. și colab. - Îngrijirea pacienţilor – vol. II, Ed. Romprint, 2005, ISBN 973-86350-7-1, ISBN 973-7761-35-9,</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lang w:eastAsia="ro-RO"/>
              </w:rPr>
              <w:t>Rogozea L. Oglindă T.  şi colab. - Îngrijirea pacienţilor, vol. III, Ed. Romprint, 2006</w:t>
            </w:r>
            <w:r w:rsidRPr="008D0169">
              <w:rPr>
                <w:rFonts w:ascii="Cambria" w:hAnsi="Cambria"/>
                <w:i/>
                <w:iCs/>
                <w:lang w:eastAsia="ro-RO"/>
              </w:rPr>
              <w:t>, </w:t>
            </w:r>
            <w:r w:rsidRPr="008D0169">
              <w:rPr>
                <w:rFonts w:ascii="Cambria" w:hAnsi="Cambria"/>
                <w:lang w:eastAsia="ro-RO"/>
              </w:rPr>
              <w:t>ISBN 973-86350-7-1, ISBN 973-7761-11-1</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lang w:eastAsia="ro-RO"/>
              </w:rPr>
              <w:t>Rogozea L., Oglindă T., Miclăuş R. - Îngrijirea pacienţilor – vol. IV, Ed Romprint, 2007, 973-86350-7-1,</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lang w:eastAsia="ro-RO"/>
              </w:rPr>
              <w:t>Rogozea L. Oglindă T. şi colab. - Tehnici şi manopere pentru asistenţii medicali, Ed. Romprint, 2005.</w:t>
            </w:r>
          </w:p>
          <w:p w:rsidR="00A84DD2" w:rsidRPr="008D0169" w:rsidRDefault="00A84DD2" w:rsidP="001579AF">
            <w:pPr>
              <w:pStyle w:val="ListParagraph"/>
              <w:numPr>
                <w:ilvl w:val="0"/>
                <w:numId w:val="6"/>
              </w:numPr>
              <w:spacing w:after="0" w:line="240" w:lineRule="auto"/>
              <w:ind w:left="743"/>
              <w:jc w:val="both"/>
              <w:rPr>
                <w:rFonts w:ascii="Cambria" w:hAnsi="Cambria"/>
                <w:lang w:eastAsia="ro-RO"/>
              </w:rPr>
            </w:pPr>
            <w:r w:rsidRPr="008D0169">
              <w:rPr>
                <w:rFonts w:ascii="Cambria" w:hAnsi="Cambria"/>
                <w:lang w:eastAsia="ro-RO"/>
              </w:rPr>
              <w:t>Rogozea L., Oglindă T. şi colab. - Tehnica îngrijirii omului sănătos şi bolnav, Ed. Romprint, 2002, pg 159,ISBN 973-99905-8-4,</w:t>
            </w:r>
          </w:p>
          <w:p w:rsidR="00A84DD2" w:rsidRPr="008D0169" w:rsidRDefault="00A84DD2" w:rsidP="00A84DD2">
            <w:pPr>
              <w:rPr>
                <w:rFonts w:ascii="Cambria" w:hAnsi="Cambria"/>
              </w:rPr>
            </w:pPr>
          </w:p>
          <w:p w:rsidR="006072AC" w:rsidRPr="001579AF" w:rsidRDefault="006072AC" w:rsidP="001579AF">
            <w:pPr>
              <w:jc w:val="center"/>
              <w:rPr>
                <w:rFonts w:asciiTheme="minorHAnsi" w:hAnsiTheme="minorHAnsi"/>
                <w:b/>
                <w:bCs/>
                <w:sz w:val="28"/>
                <w:szCs w:val="28"/>
                <w:lang w:val="ro-RO"/>
              </w:rPr>
            </w:pPr>
          </w:p>
          <w:p w:rsidR="00503293" w:rsidRPr="001579AF" w:rsidRDefault="00786ED0" w:rsidP="001579AF">
            <w:pPr>
              <w:pStyle w:val="ListParagraph"/>
              <w:ind w:left="1080"/>
              <w:jc w:val="center"/>
              <w:rPr>
                <w:rFonts w:asciiTheme="minorHAnsi" w:hAnsiTheme="minorHAnsi"/>
                <w:b/>
                <w:bCs/>
                <w:sz w:val="28"/>
                <w:szCs w:val="28"/>
              </w:rPr>
            </w:pPr>
            <w:r w:rsidRPr="001579AF">
              <w:rPr>
                <w:rFonts w:asciiTheme="minorHAnsi" w:hAnsiTheme="minorHAnsi"/>
                <w:b/>
                <w:bCs/>
                <w:sz w:val="28"/>
                <w:szCs w:val="28"/>
              </w:rPr>
              <w:t>T</w:t>
            </w:r>
            <w:r w:rsidR="003B3566" w:rsidRPr="001579AF">
              <w:rPr>
                <w:rFonts w:asciiTheme="minorHAnsi" w:hAnsiTheme="minorHAnsi"/>
                <w:b/>
                <w:bCs/>
                <w:sz w:val="28"/>
                <w:szCs w:val="28"/>
              </w:rPr>
              <w:t>ematica probei practice</w:t>
            </w:r>
          </w:p>
          <w:p w:rsidR="00503293" w:rsidRPr="001579AF" w:rsidRDefault="00786ED0" w:rsidP="00503293">
            <w:pPr>
              <w:rPr>
                <w:rFonts w:asciiTheme="minorHAnsi" w:hAnsiTheme="minorHAnsi"/>
                <w:bCs/>
                <w:lang w:val="ro-RO"/>
              </w:rPr>
            </w:pPr>
            <w:r w:rsidRPr="001579AF">
              <w:rPr>
                <w:rFonts w:asciiTheme="minorHAnsi" w:hAnsiTheme="minorHAnsi"/>
                <w:bCs/>
                <w:lang w:val="ro-RO"/>
              </w:rPr>
              <w:t>Prezentarea unui c</w:t>
            </w:r>
            <w:r w:rsidR="00EF65E9" w:rsidRPr="001579AF">
              <w:rPr>
                <w:rFonts w:asciiTheme="minorHAnsi" w:hAnsiTheme="minorHAnsi"/>
                <w:bCs/>
                <w:lang w:val="ro-RO"/>
              </w:rPr>
              <w:t>az clinic din tematica probei scrise</w:t>
            </w:r>
          </w:p>
          <w:p w:rsidR="00786ED0" w:rsidRPr="008C0EF7" w:rsidRDefault="00786ED0" w:rsidP="00503293">
            <w:pPr>
              <w:rPr>
                <w:rFonts w:asciiTheme="minorHAnsi" w:hAnsiTheme="minorHAnsi"/>
                <w:bCs/>
                <w:sz w:val="22"/>
                <w:szCs w:val="22"/>
                <w:lang w:val="ro-RO"/>
              </w:rPr>
            </w:pPr>
            <w:r w:rsidRPr="008C0EF7">
              <w:rPr>
                <w:rFonts w:asciiTheme="minorHAnsi" w:hAnsiTheme="minorHAnsi"/>
                <w:bCs/>
                <w:sz w:val="22"/>
                <w:szCs w:val="22"/>
                <w:lang w:val="ro-RO"/>
              </w:rPr>
              <w:lastRenderedPageBreak/>
              <w:t xml:space="preserve">    </w:t>
            </w:r>
          </w:p>
          <w:p w:rsidR="00786ED0" w:rsidRPr="008C0EF7" w:rsidRDefault="00786ED0" w:rsidP="00786ED0">
            <w:pPr>
              <w:rPr>
                <w:rFonts w:asciiTheme="minorHAnsi" w:hAnsiTheme="minorHAnsi"/>
                <w:b/>
                <w:bCs/>
                <w:sz w:val="22"/>
                <w:szCs w:val="22"/>
                <w:lang w:val="ro-RO"/>
              </w:rPr>
            </w:pPr>
            <w:r w:rsidRPr="008C0EF7">
              <w:rPr>
                <w:rFonts w:asciiTheme="minorHAnsi" w:hAnsiTheme="minorHAnsi"/>
                <w:b/>
                <w:bCs/>
                <w:sz w:val="22"/>
                <w:szCs w:val="22"/>
                <w:lang w:val="ro-RO"/>
              </w:rPr>
              <w:t xml:space="preserve">                        </w:t>
            </w:r>
          </w:p>
          <w:p w:rsidR="00786ED0" w:rsidRPr="00DE2E46" w:rsidRDefault="003B3566" w:rsidP="001579AF">
            <w:pPr>
              <w:jc w:val="center"/>
              <w:rPr>
                <w:rFonts w:asciiTheme="minorHAnsi" w:hAnsiTheme="minorHAnsi"/>
                <w:b/>
                <w:bCs/>
                <w:color w:val="000000"/>
                <w:sz w:val="28"/>
                <w:szCs w:val="28"/>
                <w:lang w:val="ro-RO"/>
              </w:rPr>
            </w:pPr>
            <w:r w:rsidRPr="00DE2E46">
              <w:rPr>
                <w:rFonts w:asciiTheme="minorHAnsi" w:hAnsiTheme="minorHAnsi"/>
                <w:b/>
                <w:bCs/>
                <w:color w:val="000000"/>
                <w:sz w:val="28"/>
                <w:szCs w:val="28"/>
                <w:lang w:val="ro-RO"/>
              </w:rPr>
              <w:t>Tematica probei didactice</w:t>
            </w:r>
            <w:r w:rsidR="00786ED0" w:rsidRPr="00DE2E46">
              <w:rPr>
                <w:rFonts w:asciiTheme="minorHAnsi" w:hAnsiTheme="minorHAnsi"/>
                <w:b/>
                <w:bCs/>
                <w:color w:val="000000"/>
                <w:sz w:val="28"/>
                <w:szCs w:val="28"/>
                <w:lang w:val="ro-RO"/>
              </w:rPr>
              <w:t xml:space="preserve"> (cursului magistral)</w:t>
            </w:r>
          </w:p>
          <w:p w:rsidR="00DE2E46" w:rsidRPr="001579AF" w:rsidRDefault="00DE2E46" w:rsidP="001579AF">
            <w:pPr>
              <w:jc w:val="center"/>
              <w:rPr>
                <w:rFonts w:asciiTheme="minorHAnsi" w:hAnsiTheme="minorHAnsi"/>
                <w:b/>
                <w:bCs/>
                <w:color w:val="000000"/>
                <w:lang w:val="ro-RO"/>
              </w:rPr>
            </w:pPr>
          </w:p>
          <w:p w:rsidR="00786ED0" w:rsidRPr="001579AF" w:rsidRDefault="00786ED0" w:rsidP="001579AF">
            <w:pPr>
              <w:pStyle w:val="ListParagraph"/>
              <w:numPr>
                <w:ilvl w:val="0"/>
                <w:numId w:val="7"/>
              </w:numPr>
              <w:spacing w:after="40" w:line="240" w:lineRule="auto"/>
              <w:ind w:left="714" w:hanging="357"/>
              <w:rPr>
                <w:rFonts w:asciiTheme="minorHAnsi" w:hAnsiTheme="minorHAnsi"/>
              </w:rPr>
            </w:pPr>
            <w:r w:rsidRPr="001579AF">
              <w:rPr>
                <w:rFonts w:asciiTheme="minorHAnsi" w:hAnsiTheme="minorHAnsi"/>
              </w:rPr>
              <w:t>Managementul riscului cardiovascular în practica serviciilor preventive</w:t>
            </w:r>
          </w:p>
          <w:p w:rsidR="00786ED0" w:rsidRPr="001579AF" w:rsidRDefault="00786ED0" w:rsidP="001579AF">
            <w:pPr>
              <w:pStyle w:val="ListParagraph"/>
              <w:numPr>
                <w:ilvl w:val="0"/>
                <w:numId w:val="7"/>
              </w:numPr>
              <w:spacing w:after="40" w:line="240" w:lineRule="auto"/>
              <w:ind w:left="714" w:hanging="357"/>
              <w:rPr>
                <w:rFonts w:asciiTheme="minorHAnsi" w:hAnsiTheme="minorHAnsi"/>
              </w:rPr>
            </w:pPr>
            <w:r w:rsidRPr="001579AF">
              <w:rPr>
                <w:rFonts w:asciiTheme="minorHAnsi" w:hAnsiTheme="minorHAnsi"/>
              </w:rPr>
              <w:t>Urmărirea bolnavului cu diabet zaharat tip 2 in asistenta medicală primară</w:t>
            </w:r>
          </w:p>
          <w:p w:rsidR="00786ED0" w:rsidRPr="001579AF" w:rsidRDefault="00DE2228" w:rsidP="001579AF">
            <w:pPr>
              <w:pStyle w:val="ListParagraph"/>
              <w:numPr>
                <w:ilvl w:val="0"/>
                <w:numId w:val="7"/>
              </w:numPr>
              <w:spacing w:after="40" w:line="240" w:lineRule="auto"/>
              <w:ind w:left="714" w:hanging="357"/>
              <w:rPr>
                <w:rFonts w:asciiTheme="minorHAnsi" w:hAnsiTheme="minorHAnsi"/>
              </w:rPr>
            </w:pPr>
            <w:r w:rsidRPr="001579AF">
              <w:rPr>
                <w:rFonts w:asciiTheme="minorHAnsi" w:hAnsiTheme="minorHAnsi"/>
              </w:rPr>
              <w:t xml:space="preserve">Aspecte moderne </w:t>
            </w:r>
            <w:r w:rsidR="00B95FE0" w:rsidRPr="001579AF">
              <w:rPr>
                <w:rFonts w:asciiTheme="minorHAnsi" w:hAnsiTheme="minorHAnsi"/>
              </w:rPr>
              <w:t>în managementul bolilor cronice</w:t>
            </w:r>
            <w:r w:rsidR="00D34925" w:rsidRPr="001579AF">
              <w:rPr>
                <w:rFonts w:asciiTheme="minorHAnsi" w:hAnsiTheme="minorHAnsi"/>
              </w:rPr>
              <w:t>- modelul de boală cronică</w:t>
            </w:r>
          </w:p>
          <w:p w:rsidR="00786ED0" w:rsidRPr="008C0EF7" w:rsidRDefault="00786ED0" w:rsidP="00786ED0">
            <w:pPr>
              <w:rPr>
                <w:rFonts w:asciiTheme="minorHAnsi" w:hAnsiTheme="minorHAnsi"/>
                <w:b/>
                <w:sz w:val="22"/>
                <w:szCs w:val="22"/>
                <w:lang w:val="ro-RO"/>
              </w:rPr>
            </w:pPr>
            <w:r w:rsidRPr="008C0EF7">
              <w:rPr>
                <w:rFonts w:asciiTheme="minorHAnsi" w:hAnsiTheme="minorHAnsi"/>
                <w:b/>
                <w:sz w:val="22"/>
                <w:szCs w:val="22"/>
                <w:lang w:val="ro-RO"/>
              </w:rPr>
              <w:t>Bibliografie minimală:</w:t>
            </w:r>
          </w:p>
          <w:p w:rsidR="008C0EF7" w:rsidRPr="00DE2E46" w:rsidRDefault="008C0EF7" w:rsidP="00786ED0">
            <w:pPr>
              <w:rPr>
                <w:rFonts w:asciiTheme="minorHAnsi" w:hAnsiTheme="minorHAnsi" w:cs="Arial"/>
                <w:b/>
                <w:lang w:val="ro-RO"/>
              </w:rPr>
            </w:pPr>
          </w:p>
          <w:p w:rsidR="008C0EF7" w:rsidRPr="00DE2E46" w:rsidRDefault="008C0EF7" w:rsidP="00786ED0">
            <w:pPr>
              <w:rPr>
                <w:rFonts w:asciiTheme="minorHAnsi" w:hAnsiTheme="minorHAnsi" w:cs="Arial"/>
                <w:lang w:val="ro-RO"/>
              </w:rPr>
            </w:pPr>
            <w:r w:rsidRPr="00DE2E46">
              <w:rPr>
                <w:rFonts w:asciiTheme="minorHAnsi" w:hAnsiTheme="minorHAnsi" w:cs="Arial"/>
                <w:lang w:val="ro-RO"/>
              </w:rPr>
              <w:t>Piepoli, Massimo F., et al. "2016 European Guidelines on cardiovascular disease prevention in clinical practice The Sixth Joint Task Force of the European Society of Cardiology and Other Societies on Cardiovascular Disease Prevention in Clinical Practice (constituted by representatives of 10 societies and by invited experts) Developed with the special contribution of the European Association for Cardiovascular Prevention &amp; Rehabilitation (EACPR)." European journal of preventive cardiology (2016): 2047487316653709.</w:t>
            </w:r>
          </w:p>
          <w:p w:rsidR="000F55B7" w:rsidRPr="00DE2E46" w:rsidRDefault="000F55B7" w:rsidP="00786ED0">
            <w:pPr>
              <w:rPr>
                <w:rFonts w:asciiTheme="minorHAnsi" w:hAnsiTheme="minorHAnsi"/>
                <w:lang w:val="ro-RO"/>
              </w:rPr>
            </w:pPr>
          </w:p>
          <w:p w:rsidR="008C0EF7" w:rsidRPr="00DE2E46" w:rsidRDefault="008C0EF7" w:rsidP="00786ED0">
            <w:pPr>
              <w:rPr>
                <w:rFonts w:asciiTheme="minorHAnsi" w:hAnsiTheme="minorHAnsi" w:cs="Arial"/>
                <w:lang w:val="ro-RO"/>
              </w:rPr>
            </w:pPr>
            <w:r w:rsidRPr="00DE2E46">
              <w:rPr>
                <w:rFonts w:asciiTheme="minorHAnsi" w:hAnsiTheme="minorHAnsi" w:cs="Arial"/>
                <w:lang w:val="ro-RO"/>
              </w:rPr>
              <w:t>Wagner EH. Chronic disease management: what will it take to improve care for chronic illness? Eff Clin Pract. 1998;1:2-4.</w:t>
            </w:r>
          </w:p>
          <w:p w:rsidR="000F55B7" w:rsidRPr="008C0EF7" w:rsidRDefault="000F55B7" w:rsidP="00DE2E46">
            <w:pPr>
              <w:pStyle w:val="ListParagraph"/>
              <w:ind w:left="1080"/>
              <w:jc w:val="center"/>
              <w:rPr>
                <w:rFonts w:ascii="Cambria" w:hAnsi="Cambria"/>
                <w:b/>
                <w:bCs/>
                <w:sz w:val="22"/>
                <w:szCs w:val="22"/>
              </w:rPr>
            </w:pPr>
          </w:p>
          <w:p w:rsidR="00D60EAC" w:rsidRPr="008C0EF7" w:rsidRDefault="00D60EAC" w:rsidP="00DE2E46">
            <w:pPr>
              <w:pStyle w:val="ListParagraph"/>
              <w:ind w:left="1080"/>
              <w:jc w:val="center"/>
              <w:rPr>
                <w:rFonts w:ascii="Cambria" w:hAnsi="Cambria"/>
                <w:b/>
                <w:bCs/>
                <w:sz w:val="28"/>
                <w:szCs w:val="28"/>
              </w:rPr>
            </w:pPr>
            <w:r w:rsidRPr="008C0EF7">
              <w:rPr>
                <w:rFonts w:ascii="Cambria" w:hAnsi="Cambria"/>
                <w:b/>
                <w:bCs/>
                <w:sz w:val="28"/>
                <w:szCs w:val="28"/>
              </w:rPr>
              <w:t>Tematica prelegerii publice</w:t>
            </w:r>
          </w:p>
          <w:p w:rsidR="00786ED0" w:rsidRPr="008C0EF7" w:rsidRDefault="00786ED0" w:rsidP="00786ED0">
            <w:pPr>
              <w:jc w:val="both"/>
              <w:rPr>
                <w:rFonts w:ascii="Cambria" w:hAnsi="Cambria"/>
                <w:bCs/>
                <w:color w:val="000000"/>
                <w:szCs w:val="28"/>
                <w:lang w:val="ro-RO"/>
              </w:rPr>
            </w:pPr>
            <w:r w:rsidRPr="008C0EF7">
              <w:rPr>
                <w:rFonts w:ascii="Cambria" w:hAnsi="Cambria"/>
                <w:bCs/>
                <w:color w:val="000000"/>
                <w:szCs w:val="28"/>
                <w:lang w:val="ro-RO"/>
              </w:rPr>
              <w:t xml:space="preserve">Prezentarea celor mai semnificative realizări profesionale anterioare, precum şi obiectivele şi perspectivele de dezvoltare proprie în cariera universitară (în domeniul didactic şi de cercetare) într-o prelegere publică de minimum 45 de minute. Această probă conţine în mod obligatoriu şi o sesiune de întrebări din partea comisiei de concurs sau a membrilor comunităţii ştiinţifice care participă la prezentare. </w:t>
            </w:r>
          </w:p>
          <w:p w:rsidR="00D60EAC" w:rsidRPr="008C0EF7" w:rsidRDefault="00D60EAC" w:rsidP="009C167C">
            <w:pPr>
              <w:jc w:val="center"/>
              <w:rPr>
                <w:rFonts w:ascii="Cambria" w:hAnsi="Cambria"/>
                <w:b/>
                <w:bCs/>
                <w:color w:val="000000"/>
                <w:sz w:val="28"/>
                <w:szCs w:val="28"/>
                <w:lang w:val="ro-RO"/>
              </w:rPr>
            </w:pPr>
          </w:p>
        </w:tc>
      </w:tr>
      <w:tr w:rsidR="00D60EAC" w:rsidRPr="008C0EF7" w:rsidTr="00D60EAC">
        <w:trPr>
          <w:jc w:val="center"/>
        </w:trPr>
        <w:tc>
          <w:tcPr>
            <w:tcW w:w="10280" w:type="dxa"/>
            <w:gridSpan w:val="2"/>
            <w:shd w:val="clear" w:color="auto" w:fill="DAEEF3"/>
          </w:tcPr>
          <w:p w:rsidR="00D60EAC" w:rsidRPr="008C0EF7" w:rsidRDefault="00D60EAC" w:rsidP="009C167C">
            <w:pPr>
              <w:jc w:val="both"/>
              <w:rPr>
                <w:rFonts w:ascii="Cambria" w:hAnsi="Cambria"/>
                <w:color w:val="000000"/>
                <w:lang w:val="ro-RO"/>
              </w:rPr>
            </w:pPr>
          </w:p>
        </w:tc>
      </w:tr>
      <w:tr w:rsidR="00D60EAC" w:rsidRPr="008C0EF7" w:rsidTr="00D60EAC">
        <w:trPr>
          <w:jc w:val="center"/>
        </w:trPr>
        <w:tc>
          <w:tcPr>
            <w:tcW w:w="10280" w:type="dxa"/>
            <w:gridSpan w:val="2"/>
            <w:shd w:val="clear" w:color="auto" w:fill="EDF6F9"/>
          </w:tcPr>
          <w:p w:rsidR="00D60EAC" w:rsidRPr="008C0EF7" w:rsidRDefault="00D60EAC" w:rsidP="009C167C">
            <w:pPr>
              <w:jc w:val="center"/>
              <w:rPr>
                <w:rFonts w:ascii="Cambria" w:hAnsi="Cambria"/>
                <w:b/>
                <w:bCs/>
                <w:color w:val="000000"/>
                <w:sz w:val="28"/>
                <w:szCs w:val="28"/>
                <w:lang w:val="ro-RO"/>
              </w:rPr>
            </w:pPr>
          </w:p>
          <w:p w:rsidR="00D60EAC" w:rsidRPr="008C0EF7" w:rsidRDefault="00D60EAC" w:rsidP="009C167C">
            <w:pPr>
              <w:jc w:val="center"/>
              <w:rPr>
                <w:rFonts w:ascii="Cambria" w:hAnsi="Cambria"/>
                <w:b/>
                <w:bCs/>
                <w:color w:val="000000"/>
                <w:sz w:val="28"/>
                <w:szCs w:val="28"/>
                <w:lang w:val="ro-RO"/>
              </w:rPr>
            </w:pPr>
            <w:r w:rsidRPr="008C0EF7">
              <w:rPr>
                <w:rFonts w:ascii="Cambria" w:hAnsi="Cambria"/>
                <w:b/>
                <w:bCs/>
                <w:color w:val="000000"/>
                <w:sz w:val="28"/>
                <w:szCs w:val="28"/>
                <w:lang w:val="ro-RO"/>
              </w:rPr>
              <w:t>Desfăşurarea concursului</w:t>
            </w:r>
          </w:p>
          <w:p w:rsidR="00D60EAC" w:rsidRPr="008C0EF7" w:rsidRDefault="00D60EAC" w:rsidP="009C167C">
            <w:pPr>
              <w:jc w:val="center"/>
              <w:rPr>
                <w:rFonts w:ascii="Cambria" w:hAnsi="Cambria"/>
                <w:b/>
                <w:bCs/>
                <w:color w:val="000000"/>
                <w:sz w:val="28"/>
                <w:szCs w:val="28"/>
                <w:lang w:val="ro-RO"/>
              </w:rPr>
            </w:pPr>
          </w:p>
        </w:tc>
      </w:tr>
      <w:tr w:rsidR="00D60EAC" w:rsidRPr="008C0EF7" w:rsidTr="00D60EAC">
        <w:trPr>
          <w:jc w:val="center"/>
        </w:trPr>
        <w:tc>
          <w:tcPr>
            <w:tcW w:w="3510" w:type="dxa"/>
            <w:shd w:val="clear" w:color="auto" w:fill="DAEEF3"/>
          </w:tcPr>
          <w:p w:rsidR="00D60EAC" w:rsidRPr="008C0EF7" w:rsidRDefault="00D60EAC" w:rsidP="009C167C">
            <w:pPr>
              <w:rPr>
                <w:rFonts w:ascii="Cambria" w:hAnsi="Cambria"/>
                <w:b/>
                <w:bCs/>
                <w:color w:val="000000"/>
                <w:lang w:val="ro-RO"/>
              </w:rPr>
            </w:pPr>
            <w:r w:rsidRPr="008C0EF7">
              <w:rPr>
                <w:rFonts w:ascii="Cambria" w:hAnsi="Cambria"/>
                <w:b/>
                <w:bCs/>
                <w:color w:val="000000"/>
                <w:lang w:val="ro-RO"/>
              </w:rPr>
              <w:t>Data şi ora</w:t>
            </w:r>
          </w:p>
        </w:tc>
        <w:tc>
          <w:tcPr>
            <w:tcW w:w="6770" w:type="dxa"/>
            <w:shd w:val="clear" w:color="auto" w:fill="DAEEF3"/>
            <w:vAlign w:val="center"/>
          </w:tcPr>
          <w:p w:rsidR="00C00422" w:rsidRDefault="00C00422" w:rsidP="00C00422">
            <w:pPr>
              <w:rPr>
                <w:b/>
                <w:lang w:val="ro-RO"/>
              </w:rPr>
            </w:pPr>
            <w:r>
              <w:rPr>
                <w:b/>
                <w:lang w:val="ro-RO"/>
              </w:rPr>
              <w:t>5 septembrie 2017 ora 9.00 Proba scrisă</w:t>
            </w:r>
          </w:p>
          <w:p w:rsidR="00C00422" w:rsidRDefault="00C00422" w:rsidP="00C00422">
            <w:pPr>
              <w:rPr>
                <w:b/>
                <w:lang w:val="ro-RO"/>
              </w:rPr>
            </w:pPr>
            <w:r>
              <w:rPr>
                <w:b/>
                <w:lang w:val="ro-RO"/>
              </w:rPr>
              <w:t>5 septembrie 2017 ora 18.00 Proba practică</w:t>
            </w:r>
          </w:p>
          <w:p w:rsidR="00C00422" w:rsidRDefault="00C00422" w:rsidP="00C00422">
            <w:pPr>
              <w:rPr>
                <w:b/>
                <w:lang w:val="ro-RO"/>
              </w:rPr>
            </w:pPr>
            <w:r>
              <w:rPr>
                <w:b/>
                <w:lang w:val="ro-RO"/>
              </w:rPr>
              <w:t>6 septembrie 2017 ora 11.30 Proba didactică</w:t>
            </w:r>
          </w:p>
          <w:p w:rsidR="00D60EAC" w:rsidRPr="008C0EF7" w:rsidRDefault="00C00422" w:rsidP="00C00422">
            <w:pPr>
              <w:rPr>
                <w:rFonts w:ascii="Cambria" w:hAnsi="Cambria"/>
                <w:b/>
                <w:lang w:val="ro-RO"/>
              </w:rPr>
            </w:pPr>
            <w:r>
              <w:rPr>
                <w:b/>
                <w:lang w:val="ro-RO"/>
              </w:rPr>
              <w:t>6 septembrie 2017 ora 12.00 Prelegere publică</w:t>
            </w:r>
            <w:bookmarkStart w:id="0" w:name="_GoBack"/>
            <w:bookmarkEnd w:id="0"/>
          </w:p>
        </w:tc>
      </w:tr>
      <w:tr w:rsidR="00D60EAC" w:rsidRPr="008C0EF7" w:rsidTr="00D60EAC">
        <w:trPr>
          <w:jc w:val="center"/>
        </w:trPr>
        <w:tc>
          <w:tcPr>
            <w:tcW w:w="3510" w:type="dxa"/>
            <w:shd w:val="clear" w:color="auto" w:fill="EDF6F9"/>
          </w:tcPr>
          <w:p w:rsidR="00D60EAC" w:rsidRPr="008C0EF7" w:rsidRDefault="00D60EAC" w:rsidP="009C167C">
            <w:pPr>
              <w:rPr>
                <w:rFonts w:ascii="Cambria" w:hAnsi="Cambria"/>
                <w:b/>
                <w:bCs/>
                <w:color w:val="000000"/>
                <w:lang w:val="ro-RO"/>
              </w:rPr>
            </w:pPr>
            <w:r w:rsidRPr="008C0EF7">
              <w:rPr>
                <w:rFonts w:ascii="Cambria" w:hAnsi="Cambria"/>
                <w:b/>
                <w:bCs/>
                <w:color w:val="000000"/>
                <w:lang w:val="ro-RO"/>
              </w:rPr>
              <w:t xml:space="preserve">Locul </w:t>
            </w:r>
          </w:p>
        </w:tc>
        <w:tc>
          <w:tcPr>
            <w:tcW w:w="6770" w:type="dxa"/>
            <w:shd w:val="clear" w:color="auto" w:fill="EDF6F9"/>
            <w:vAlign w:val="center"/>
          </w:tcPr>
          <w:p w:rsidR="00D60EAC" w:rsidRPr="008C0EF7" w:rsidRDefault="00B6572C" w:rsidP="00D60EAC">
            <w:pPr>
              <w:rPr>
                <w:rFonts w:ascii="Cambria" w:hAnsi="Cambria"/>
                <w:b/>
                <w:lang w:val="ro-RO"/>
              </w:rPr>
            </w:pPr>
            <w:r>
              <w:rPr>
                <w:rFonts w:ascii="Cambria" w:hAnsi="Cambria"/>
                <w:b/>
                <w:lang w:val="ro-RO"/>
              </w:rPr>
              <w:t xml:space="preserve">Facultatea de Medicină, </w:t>
            </w:r>
            <w:r w:rsidR="00D60EAC" w:rsidRPr="008C0EF7">
              <w:rPr>
                <w:rFonts w:ascii="Cambria" w:hAnsi="Cambria"/>
                <w:b/>
                <w:lang w:val="ro-RO"/>
              </w:rPr>
              <w:t>Corp</w:t>
            </w:r>
            <w:r w:rsidR="003965F6" w:rsidRPr="008C0EF7">
              <w:rPr>
                <w:rFonts w:ascii="Cambria" w:hAnsi="Cambria"/>
                <w:b/>
                <w:lang w:val="ro-RO"/>
              </w:rPr>
              <w:t xml:space="preserve"> K</w:t>
            </w:r>
            <w:r w:rsidR="00D60EAC" w:rsidRPr="008C0EF7">
              <w:rPr>
                <w:rFonts w:ascii="Cambria" w:hAnsi="Cambria"/>
                <w:b/>
                <w:lang w:val="ro-RO"/>
              </w:rPr>
              <w:t>, Strada</w:t>
            </w:r>
            <w:r w:rsidR="003965F6" w:rsidRPr="008C0EF7">
              <w:rPr>
                <w:rFonts w:ascii="Cambria" w:hAnsi="Cambria"/>
                <w:b/>
                <w:lang w:val="ro-RO"/>
              </w:rPr>
              <w:t xml:space="preserve"> Nicolae Bălcescu</w:t>
            </w:r>
            <w:r w:rsidR="00D60EAC" w:rsidRPr="008C0EF7">
              <w:rPr>
                <w:rFonts w:ascii="Cambria" w:hAnsi="Cambria"/>
                <w:b/>
                <w:lang w:val="ro-RO"/>
              </w:rPr>
              <w:t xml:space="preserve">  Nr</w:t>
            </w:r>
            <w:r w:rsidR="003965F6" w:rsidRPr="008C0EF7">
              <w:rPr>
                <w:rFonts w:ascii="Cambria" w:hAnsi="Cambria"/>
                <w:b/>
                <w:lang w:val="ro-RO"/>
              </w:rPr>
              <w:t xml:space="preserve"> 56</w:t>
            </w:r>
            <w:r w:rsidR="00D60EAC" w:rsidRPr="008C0EF7">
              <w:rPr>
                <w:rFonts w:ascii="Cambria" w:hAnsi="Cambria"/>
                <w:b/>
                <w:lang w:val="ro-RO"/>
              </w:rPr>
              <w:t xml:space="preserve">, Sala </w:t>
            </w:r>
            <w:r>
              <w:rPr>
                <w:rFonts w:ascii="Cambria" w:hAnsi="Cambria"/>
                <w:b/>
                <w:lang w:val="ro-RO"/>
              </w:rPr>
              <w:t>KP18</w:t>
            </w:r>
          </w:p>
        </w:tc>
      </w:tr>
    </w:tbl>
    <w:p w:rsidR="00E52A9E" w:rsidRPr="008C0EF7" w:rsidRDefault="00E52A9E">
      <w:pPr>
        <w:rPr>
          <w:lang w:val="ro-RO"/>
        </w:rPr>
      </w:pPr>
    </w:p>
    <w:sectPr w:rsidR="00E52A9E" w:rsidRPr="008C0EF7" w:rsidSect="00A8033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decimal"/>
      <w:lvlText w:val="%1."/>
      <w:lvlJc w:val="left"/>
      <w:pPr>
        <w:tabs>
          <w:tab w:val="num" w:pos="0"/>
        </w:tabs>
        <w:ind w:left="720" w:hanging="360"/>
      </w:pPr>
      <w:rPr>
        <w:rFonts w:eastAsia="Times New Roman"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38E0479"/>
    <w:multiLevelType w:val="hybridMultilevel"/>
    <w:tmpl w:val="0E542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F1EE6"/>
    <w:multiLevelType w:val="hybridMultilevel"/>
    <w:tmpl w:val="388A9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94E4A"/>
    <w:multiLevelType w:val="hybridMultilevel"/>
    <w:tmpl w:val="64AEEA36"/>
    <w:lvl w:ilvl="0" w:tplc="AEAC7D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145294"/>
    <w:multiLevelType w:val="hybridMultilevel"/>
    <w:tmpl w:val="82404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76735E7"/>
    <w:multiLevelType w:val="hybridMultilevel"/>
    <w:tmpl w:val="1E0E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08425D"/>
    <w:multiLevelType w:val="hybridMultilevel"/>
    <w:tmpl w:val="DE3AE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EAC"/>
    <w:rsid w:val="000F55B7"/>
    <w:rsid w:val="001052FB"/>
    <w:rsid w:val="001579AF"/>
    <w:rsid w:val="002C33BE"/>
    <w:rsid w:val="00350D1C"/>
    <w:rsid w:val="003965F6"/>
    <w:rsid w:val="003A64CA"/>
    <w:rsid w:val="003B34E5"/>
    <w:rsid w:val="003B3566"/>
    <w:rsid w:val="00411321"/>
    <w:rsid w:val="00421B59"/>
    <w:rsid w:val="00440D8E"/>
    <w:rsid w:val="004945BD"/>
    <w:rsid w:val="004F3C0E"/>
    <w:rsid w:val="00503293"/>
    <w:rsid w:val="005E4701"/>
    <w:rsid w:val="006072AC"/>
    <w:rsid w:val="006516B1"/>
    <w:rsid w:val="006F3AD6"/>
    <w:rsid w:val="00786ED0"/>
    <w:rsid w:val="007A10C3"/>
    <w:rsid w:val="007F792B"/>
    <w:rsid w:val="008C0EF7"/>
    <w:rsid w:val="00916647"/>
    <w:rsid w:val="009C167C"/>
    <w:rsid w:val="00A32289"/>
    <w:rsid w:val="00A80334"/>
    <w:rsid w:val="00A84DD2"/>
    <w:rsid w:val="00A86D47"/>
    <w:rsid w:val="00B2347D"/>
    <w:rsid w:val="00B628F3"/>
    <w:rsid w:val="00B6572C"/>
    <w:rsid w:val="00B77A71"/>
    <w:rsid w:val="00B95FE0"/>
    <w:rsid w:val="00C00422"/>
    <w:rsid w:val="00D34925"/>
    <w:rsid w:val="00D60EAC"/>
    <w:rsid w:val="00DD6F01"/>
    <w:rsid w:val="00DE2228"/>
    <w:rsid w:val="00DE2E46"/>
    <w:rsid w:val="00E52A9E"/>
    <w:rsid w:val="00EF6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CE75309D-E826-41F8-81AF-D9CCDF158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AC"/>
    <w:rPr>
      <w:rFonts w:ascii="Book Antiqua" w:eastAsia="Times New Roman" w:hAnsi="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E4701"/>
    <w:pPr>
      <w:suppressAutoHyphens/>
      <w:spacing w:before="100" w:after="100"/>
    </w:pPr>
    <w:rPr>
      <w:rFonts w:ascii="Times New Roman" w:hAnsi="Times New Roman"/>
      <w:color w:val="000000"/>
      <w:lang w:val="ro-RO" w:eastAsia="ar-SA"/>
    </w:rPr>
  </w:style>
  <w:style w:type="character" w:customStyle="1" w:styleId="Bodytext4">
    <w:name w:val="Body text (4)"/>
    <w:rsid w:val="005E4701"/>
    <w:rPr>
      <w:rFonts w:ascii="Candara" w:hAnsi="Candara"/>
      <w:color w:val="000000"/>
      <w:spacing w:val="0"/>
      <w:w w:val="100"/>
      <w:position w:val="0"/>
      <w:sz w:val="40"/>
      <w:szCs w:val="40"/>
      <w:u w:val="none"/>
      <w:effect w:val="none"/>
      <w:vertAlign w:val="baseline"/>
      <w:lang w:val="en-US"/>
    </w:rPr>
  </w:style>
  <w:style w:type="character" w:customStyle="1" w:styleId="Heading4">
    <w:name w:val="Heading #4"/>
    <w:rsid w:val="005E4701"/>
    <w:rPr>
      <w:rFonts w:ascii="Candara" w:hAnsi="Candara"/>
      <w:b/>
      <w:bCs/>
      <w:color w:val="000000"/>
      <w:spacing w:val="0"/>
      <w:w w:val="100"/>
      <w:position w:val="0"/>
      <w:sz w:val="34"/>
      <w:szCs w:val="34"/>
      <w:u w:val="none"/>
      <w:effect w:val="none"/>
      <w:vertAlign w:val="baseline"/>
      <w:lang w:val="en-US"/>
    </w:rPr>
  </w:style>
  <w:style w:type="paragraph" w:styleId="ListParagraph">
    <w:name w:val="List Paragraph"/>
    <w:basedOn w:val="Normal"/>
    <w:qFormat/>
    <w:rsid w:val="005E4701"/>
    <w:pPr>
      <w:spacing w:after="160" w:line="259" w:lineRule="auto"/>
      <w:ind w:left="720"/>
    </w:pPr>
    <w:rPr>
      <w:rFonts w:ascii="Arial" w:hAnsi="Arial"/>
      <w:color w:val="000000"/>
      <w:lang w:val="ro-RO" w:eastAsia="ar-SA"/>
    </w:rPr>
  </w:style>
  <w:style w:type="character" w:styleId="Hyperlink">
    <w:name w:val="Hyperlink"/>
    <w:rsid w:val="005E4701"/>
    <w:rPr>
      <w:rFonts w:cs="Times New Roman"/>
      <w:color w:val="0000FF"/>
      <w:u w:val="single"/>
    </w:rPr>
  </w:style>
  <w:style w:type="character" w:customStyle="1" w:styleId="apple-converted-space">
    <w:name w:val="apple-converted-space"/>
    <w:rsid w:val="005E4701"/>
  </w:style>
  <w:style w:type="character" w:customStyle="1" w:styleId="Mention">
    <w:name w:val="Mention"/>
    <w:basedOn w:val="DefaultParagraphFont"/>
    <w:uiPriority w:val="99"/>
    <w:semiHidden/>
    <w:unhideWhenUsed/>
    <w:rsid w:val="006072A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39546">
      <w:bodyDiv w:val="1"/>
      <w:marLeft w:val="0"/>
      <w:marRight w:val="0"/>
      <w:marTop w:val="0"/>
      <w:marBottom w:val="0"/>
      <w:divBdr>
        <w:top w:val="none" w:sz="0" w:space="0" w:color="auto"/>
        <w:left w:val="none" w:sz="0" w:space="0" w:color="auto"/>
        <w:bottom w:val="none" w:sz="0" w:space="0" w:color="auto"/>
        <w:right w:val="none" w:sz="0" w:space="0" w:color="auto"/>
      </w:divBdr>
      <w:divsChild>
        <w:div w:id="282276799">
          <w:marLeft w:val="360"/>
          <w:marRight w:val="0"/>
          <w:marTop w:val="0"/>
          <w:marBottom w:val="0"/>
          <w:divBdr>
            <w:top w:val="none" w:sz="0" w:space="0" w:color="auto"/>
            <w:left w:val="none" w:sz="0" w:space="0" w:color="auto"/>
            <w:bottom w:val="none" w:sz="0" w:space="0" w:color="auto"/>
            <w:right w:val="none" w:sz="0" w:space="0" w:color="auto"/>
          </w:divBdr>
        </w:div>
        <w:div w:id="1178622508">
          <w:marLeft w:val="360"/>
          <w:marRight w:val="0"/>
          <w:marTop w:val="0"/>
          <w:marBottom w:val="0"/>
          <w:divBdr>
            <w:top w:val="none" w:sz="0" w:space="0" w:color="auto"/>
            <w:left w:val="none" w:sz="0" w:space="0" w:color="auto"/>
            <w:bottom w:val="none" w:sz="0" w:space="0" w:color="auto"/>
            <w:right w:val="none" w:sz="0" w:space="0" w:color="auto"/>
          </w:divBdr>
        </w:div>
        <w:div w:id="1828861401">
          <w:marLeft w:val="360"/>
          <w:marRight w:val="0"/>
          <w:marTop w:val="0"/>
          <w:marBottom w:val="0"/>
          <w:divBdr>
            <w:top w:val="none" w:sz="0" w:space="0" w:color="auto"/>
            <w:left w:val="none" w:sz="0" w:space="0" w:color="auto"/>
            <w:bottom w:val="none" w:sz="0" w:space="0" w:color="auto"/>
            <w:right w:val="none" w:sz="0" w:space="0" w:color="auto"/>
          </w:divBdr>
        </w:div>
        <w:div w:id="1524856903">
          <w:marLeft w:val="360"/>
          <w:marRight w:val="0"/>
          <w:marTop w:val="0"/>
          <w:marBottom w:val="0"/>
          <w:divBdr>
            <w:top w:val="none" w:sz="0" w:space="0" w:color="auto"/>
            <w:left w:val="none" w:sz="0" w:space="0" w:color="auto"/>
            <w:bottom w:val="none" w:sz="0" w:space="0" w:color="auto"/>
            <w:right w:val="none" w:sz="0" w:space="0" w:color="auto"/>
          </w:divBdr>
        </w:div>
        <w:div w:id="1631790150">
          <w:marLeft w:val="360"/>
          <w:marRight w:val="0"/>
          <w:marTop w:val="0"/>
          <w:marBottom w:val="0"/>
          <w:divBdr>
            <w:top w:val="none" w:sz="0" w:space="0" w:color="auto"/>
            <w:left w:val="none" w:sz="0" w:space="0" w:color="auto"/>
            <w:bottom w:val="none" w:sz="0" w:space="0" w:color="auto"/>
            <w:right w:val="none" w:sz="0" w:space="0" w:color="auto"/>
          </w:divBdr>
        </w:div>
        <w:div w:id="855311882">
          <w:marLeft w:val="36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UniTBv</Company>
  <LinksUpToDate>false</LinksUpToDate>
  <CharactersWithSpaces>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Gheorghe</dc:creator>
  <cp:keywords/>
  <dc:description/>
  <cp:lastModifiedBy>Lorena</cp:lastModifiedBy>
  <cp:revision>6</cp:revision>
  <dcterms:created xsi:type="dcterms:W3CDTF">2017-05-10T09:59:00Z</dcterms:created>
  <dcterms:modified xsi:type="dcterms:W3CDTF">2017-05-15T14:40:00Z</dcterms:modified>
</cp:coreProperties>
</file>