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7532E3" w:rsidRDefault="007532E3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32E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7532E3" w:rsidRPr="00867CDD" w:rsidRDefault="007532E3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both"/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</w:pPr>
            <w:r w:rsidRPr="0002138D"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E92892" w:rsidRPr="00867CDD" w:rsidRDefault="00E92892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C1E5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C129A" w:rsidRPr="00CC129A" w:rsidRDefault="00D60EAC" w:rsidP="004E5C46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1</w:t>
            </w:r>
            <w:r w:rsidR="00CC129A">
              <w:rPr>
                <w:rFonts w:ascii="Cambria" w:hAnsi="Cambria"/>
                <w:b/>
                <w:lang w:val="ro-RO"/>
              </w:rPr>
              <w:t>.</w:t>
            </w:r>
            <w:r w:rsidR="00CC129A">
              <w:t xml:space="preserve"> </w:t>
            </w:r>
            <w:r w:rsidR="00CC129A" w:rsidRPr="00CC129A">
              <w:rPr>
                <w:rFonts w:ascii="Cambria" w:hAnsi="Cambria"/>
                <w:b/>
                <w:lang w:val="ro-RO"/>
              </w:rPr>
              <w:t>Poliartrita reumatoidă</w:t>
            </w:r>
            <w:r w:rsidR="00CF569F">
              <w:rPr>
                <w:rFonts w:ascii="Cambria" w:hAnsi="Cambria"/>
                <w:b/>
                <w:lang w:val="ro-RO"/>
              </w:rPr>
              <w:t>.</w:t>
            </w:r>
          </w:p>
          <w:p w:rsidR="00CC129A" w:rsidRPr="00CC129A" w:rsidRDefault="00CC129A" w:rsidP="004E5C46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CC129A">
              <w:rPr>
                <w:rFonts w:ascii="Cambria" w:hAnsi="Cambria"/>
                <w:b/>
                <w:lang w:val="ro-RO"/>
              </w:rPr>
              <w:t>2.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CC129A">
              <w:rPr>
                <w:rFonts w:ascii="Cambria" w:hAnsi="Cambria"/>
                <w:b/>
                <w:lang w:val="ro-RO"/>
              </w:rPr>
              <w:t>Spondilita anchilozantă</w:t>
            </w:r>
            <w:r w:rsidR="00CF569F">
              <w:rPr>
                <w:rFonts w:ascii="Cambria" w:hAnsi="Cambria"/>
                <w:b/>
                <w:lang w:val="ro-RO"/>
              </w:rPr>
              <w:t>.</w:t>
            </w:r>
          </w:p>
          <w:p w:rsidR="00CC129A" w:rsidRPr="00CC129A" w:rsidRDefault="00CC129A" w:rsidP="004E5C46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CC129A">
              <w:rPr>
                <w:rFonts w:ascii="Cambria" w:hAnsi="Cambria"/>
                <w:b/>
                <w:lang w:val="ro-RO"/>
              </w:rPr>
              <w:t>3.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CC129A">
              <w:rPr>
                <w:rFonts w:ascii="Cambria" w:hAnsi="Cambria"/>
                <w:b/>
                <w:lang w:val="ro-RO"/>
              </w:rPr>
              <w:t>Sindroame hemoragipare</w:t>
            </w:r>
            <w:r w:rsidR="00CF569F">
              <w:rPr>
                <w:rFonts w:ascii="Cambria" w:hAnsi="Cambria"/>
                <w:b/>
                <w:lang w:val="ro-RO"/>
              </w:rPr>
              <w:t>.</w:t>
            </w:r>
          </w:p>
          <w:p w:rsidR="00CC129A" w:rsidRPr="00CC129A" w:rsidRDefault="00CC129A" w:rsidP="004E5C46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CC129A">
              <w:rPr>
                <w:rFonts w:ascii="Cambria" w:hAnsi="Cambria"/>
                <w:b/>
                <w:lang w:val="ro-RO"/>
              </w:rPr>
              <w:t>4.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CC129A">
              <w:rPr>
                <w:rFonts w:ascii="Cambria" w:hAnsi="Cambria"/>
                <w:b/>
                <w:lang w:val="ro-RO"/>
              </w:rPr>
              <w:t>Glomerulonefrite acute</w:t>
            </w:r>
            <w:r w:rsidR="00CF569F">
              <w:rPr>
                <w:rFonts w:ascii="Cambria" w:hAnsi="Cambria"/>
                <w:b/>
                <w:lang w:val="ro-RO"/>
              </w:rPr>
              <w:t>.</w:t>
            </w:r>
          </w:p>
          <w:p w:rsidR="00D60EAC" w:rsidRPr="00867CDD" w:rsidRDefault="00CC129A" w:rsidP="004E5C46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CC129A">
              <w:rPr>
                <w:rFonts w:ascii="Cambria" w:hAnsi="Cambria"/>
                <w:b/>
                <w:lang w:val="ro-RO"/>
              </w:rPr>
              <w:t>5.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CF569F">
              <w:rPr>
                <w:rFonts w:ascii="Cambria" w:hAnsi="Cambria"/>
                <w:b/>
                <w:lang w:val="ro-RO"/>
              </w:rPr>
              <w:t>Leucemii acute.</w:t>
            </w:r>
          </w:p>
          <w:p w:rsidR="00CC129A" w:rsidRDefault="00CC129A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Bibliografie </w:t>
            </w:r>
            <w:r w:rsidR="00CC129A">
              <w:rPr>
                <w:rFonts w:ascii="Cambria" w:hAnsi="Cambria"/>
                <w:b/>
                <w:lang w:val="ro-RO"/>
              </w:rPr>
              <w:t>selectivă</w:t>
            </w:r>
            <w:r w:rsidRPr="00867CDD">
              <w:rPr>
                <w:rFonts w:ascii="Cambria" w:hAnsi="Cambria"/>
                <w:b/>
                <w:lang w:val="ro-RO"/>
              </w:rPr>
              <w:t>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>
              <w:rPr>
                <w:rFonts w:ascii="Book Antiqua" w:hAnsi="Book Antiqua" w:cs="Times New Roman"/>
                <w:sz w:val="24"/>
                <w:szCs w:val="20"/>
              </w:rPr>
              <w:t>Bă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lanescu</w:t>
            </w:r>
            <w:r>
              <w:rPr>
                <w:rFonts w:ascii="Book Antiqua" w:hAnsi="Book Antiqua" w:cs="Times New Roman"/>
                <w:sz w:val="24"/>
                <w:szCs w:val="20"/>
              </w:rPr>
              <w:t xml:space="preserve"> A. Poliartrita reumatoidă. Î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: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4"/>
                <w:szCs w:val="20"/>
              </w:rPr>
              <w:t xml:space="preserve">Ionescu R. (coord.) 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Esenţialul în reumatologie</w:t>
            </w:r>
            <w:r>
              <w:rPr>
                <w:rFonts w:ascii="Book Antiqua" w:hAnsi="Book Antiqua" w:cs="Times New Roman"/>
                <w:sz w:val="24"/>
                <w:szCs w:val="20"/>
              </w:rPr>
              <w:t>. Edi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ția 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 xml:space="preserve">a 2-a, </w:t>
            </w:r>
            <w:r>
              <w:rPr>
                <w:rFonts w:ascii="Book Antiqua" w:hAnsi="Book Antiqua" w:cs="Times New Roman"/>
                <w:sz w:val="24"/>
                <w:szCs w:val="20"/>
              </w:rPr>
              <w:t>Bucure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ști, </w:t>
            </w:r>
            <w:r>
              <w:rPr>
                <w:rFonts w:ascii="Book Antiqua" w:hAnsi="Book Antiqua" w:cs="Times New Roman"/>
                <w:sz w:val="24"/>
                <w:szCs w:val="20"/>
              </w:rPr>
              <w:t>2007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: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 xml:space="preserve"> 214-235.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 w:rsidRPr="009E3659">
              <w:rPr>
                <w:rStyle w:val="Strong"/>
                <w:rFonts w:ascii="Book Antiqua" w:hAnsi="Book Antiqua" w:cs="Times New Roman"/>
                <w:b w:val="0"/>
                <w:sz w:val="24"/>
                <w:szCs w:val="20"/>
                <w:shd w:val="clear" w:color="auto" w:fill="F7F9FF"/>
              </w:rPr>
              <w:t>ACR Recommendations for the use of non-biologic and biologic DMARDs</w:t>
            </w:r>
            <w:r>
              <w:rPr>
                <w:rStyle w:val="Strong"/>
                <w:rFonts w:ascii="Book Antiqua" w:hAnsi="Book Antiqua" w:cs="Times New Roman"/>
                <w:b w:val="0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(Arthritis Rheum 2008;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59: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762-84)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hyperlink r:id="rId6" w:tgtFrame="_blank" w:history="1">
              <w:r w:rsidRPr="007D74D4">
                <w:rPr>
                  <w:rStyle w:val="Hyperlink"/>
                  <w:rFonts w:ascii="Book Antiqua" w:hAnsi="Book Antiqua" w:cs="Times New Roman"/>
                  <w:color w:val="auto"/>
                  <w:sz w:val="24"/>
                  <w:szCs w:val="20"/>
                  <w:shd w:val="clear" w:color="auto" w:fill="F7F9FF"/>
                </w:rPr>
                <w:t>http://www.rheumatology.org/practice/clinical/guidelines/recommendations.pdf</w:t>
              </w:r>
            </w:hyperlink>
            <w:r w:rsidRPr="007D74D4">
              <w:rPr>
                <w:rStyle w:val="apple-converted-space"/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 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 w:rsidRPr="009E3659">
              <w:rPr>
                <w:rStyle w:val="Strong"/>
                <w:rFonts w:ascii="Book Antiqua" w:hAnsi="Book Antiqua" w:cs="Times New Roman"/>
                <w:b w:val="0"/>
                <w:sz w:val="24"/>
                <w:szCs w:val="20"/>
                <w:shd w:val="clear" w:color="auto" w:fill="F7F9FF"/>
              </w:rPr>
              <w:t>EULAR recommendations for the management of early arthritis: report of a task force of the European Standing Committee for International Clinical Studies Including Therapeutics (ESCISIT</w:t>
            </w:r>
            <w:r w:rsidRPr="007D74D4">
              <w:rPr>
                <w:rStyle w:val="Strong"/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)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(Ann Rheum Dis 2007;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66: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34-45)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hyperlink r:id="rId7" w:tgtFrame="_blank" w:history="1">
              <w:r w:rsidRPr="007D74D4">
                <w:rPr>
                  <w:rStyle w:val="Hyperlink"/>
                  <w:rFonts w:ascii="Book Antiqua" w:hAnsi="Book Antiqua" w:cs="Times New Roman"/>
                  <w:color w:val="auto"/>
                  <w:sz w:val="24"/>
                  <w:szCs w:val="20"/>
                  <w:shd w:val="clear" w:color="auto" w:fill="F7F9FF"/>
                </w:rPr>
                <w:t>http://ard.bmj.com/content/66/1/34.full</w:t>
              </w:r>
            </w:hyperlink>
            <w:r w:rsidRPr="007D74D4">
              <w:rPr>
                <w:rStyle w:val="apple-converted-space"/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 </w:t>
            </w:r>
          </w:p>
          <w:p w:rsidR="00CF569F" w:rsidRPr="00062D83" w:rsidRDefault="00CF569F" w:rsidP="00CF56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b/>
                <w:sz w:val="24"/>
                <w:szCs w:val="20"/>
              </w:rPr>
            </w:pPr>
            <w:r w:rsidRPr="00062D83">
              <w:rPr>
                <w:rStyle w:val="Strong"/>
                <w:rFonts w:ascii="Book Antiqua" w:hAnsi="Book Antiqua" w:cs="Times New Roman"/>
                <w:b w:val="0"/>
                <w:sz w:val="24"/>
                <w:szCs w:val="20"/>
                <w:shd w:val="clear" w:color="auto" w:fill="F7F9FF"/>
              </w:rPr>
              <w:t xml:space="preserve">EULAR recommendations for the management of rheumatoid arthritis with synthetic and biological disease-modifying antirheumatic drugs. </w:t>
            </w:r>
            <w:r w:rsidRPr="00062D83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(Ann Rheum Dis 2010; 69: 964-75) </w:t>
            </w:r>
            <w:hyperlink r:id="rId8" w:tgtFrame="_blank" w:history="1">
              <w:r w:rsidRPr="00062D83">
                <w:rPr>
                  <w:rStyle w:val="Hyperlink"/>
                  <w:rFonts w:ascii="Book Antiqua" w:hAnsi="Book Antiqua" w:cs="Times New Roman"/>
                  <w:color w:val="auto"/>
                  <w:sz w:val="24"/>
                  <w:szCs w:val="20"/>
                  <w:shd w:val="clear" w:color="auto" w:fill="F7F9FF"/>
                </w:rPr>
                <w:t>http://ard.bmj.com/content/69/6/964.full</w:t>
              </w:r>
            </w:hyperlink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Fonts w:ascii="Book Antiqua" w:hAnsi="Book Antiqua" w:cs="Times New Roman"/>
                <w:bCs/>
                <w:sz w:val="24"/>
                <w:szCs w:val="20"/>
                <w:shd w:val="clear" w:color="auto" w:fill="F7F9FF"/>
              </w:rPr>
            </w:pP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Stoica V., Scripcaru V. (coord.). 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Compendiu de specialităţi medico-chirurgicale. Volumul 2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,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 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Editura Medicală, Bucure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0"/>
                <w:lang w:eastAsia="ro-RO"/>
              </w:rPr>
              <w:t xml:space="preserve">ști, 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2015.</w:t>
            </w:r>
          </w:p>
          <w:p w:rsidR="00CF569F" w:rsidRPr="009E3659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Style w:val="apple-converted-space"/>
                <w:rFonts w:ascii="Book Antiqua" w:hAnsi="Book Antiqua" w:cs="Times New Roman"/>
                <w:sz w:val="24"/>
                <w:szCs w:val="20"/>
                <w:shd w:val="clear" w:color="auto" w:fill="F7F9FF"/>
              </w:rPr>
            </w:pPr>
            <w:r w:rsidRPr="007D74D4">
              <w:rPr>
                <w:rStyle w:val="Strong"/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2010 update of the ASAS/EULAR recommendations for the management of ankylosing spondylitis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(Ann Rheum Dis 2011;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70: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896-904)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hyperlink r:id="rId9" w:tgtFrame="_blank" w:history="1">
              <w:r w:rsidRPr="009E3659">
                <w:rPr>
                  <w:rStyle w:val="Hyperlink"/>
                  <w:rFonts w:ascii="Book Antiqua" w:hAnsi="Book Antiqua" w:cs="Times New Roman"/>
                  <w:color w:val="auto"/>
                  <w:sz w:val="24"/>
                  <w:szCs w:val="20"/>
                  <w:shd w:val="clear" w:color="auto" w:fill="F7F9FF"/>
                </w:rPr>
                <w:t>http://ard.bmj.com/content/70/6/896.full</w:t>
              </w:r>
            </w:hyperlink>
            <w:r w:rsidRPr="009E3659">
              <w:rPr>
                <w:rStyle w:val="apple-converted-space"/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 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Style w:val="Hyperlink"/>
                <w:rFonts w:ascii="Book Antiqua" w:eastAsia="Times New Roman" w:hAnsi="Book Antiqua" w:cs="Times New Roman"/>
                <w:color w:val="auto"/>
                <w:sz w:val="24"/>
                <w:szCs w:val="20"/>
                <w:u w:val="none"/>
                <w:lang w:eastAsia="ro-RO"/>
              </w:rPr>
            </w:pPr>
            <w:r w:rsidRPr="007D74D4">
              <w:rPr>
                <w:rStyle w:val="Strong"/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2010 Update of the international ASAS recommendations for the use of anti-TNF agents in patients with axial spondyloarthritis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(Ann Rheum Dis 2011;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70: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905-8)</w:t>
            </w:r>
            <w:r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  <w:shd w:val="clear" w:color="auto" w:fill="F7F9FF"/>
              </w:rPr>
              <w:t xml:space="preserve"> </w:t>
            </w:r>
            <w:hyperlink r:id="rId10" w:tgtFrame="_blank" w:history="1">
              <w:r w:rsidRPr="00062D83">
                <w:rPr>
                  <w:rStyle w:val="Hyperlink"/>
                  <w:rFonts w:ascii="Book Antiqua" w:hAnsi="Book Antiqua" w:cs="Times New Roman"/>
                  <w:color w:val="auto"/>
                  <w:sz w:val="24"/>
                  <w:szCs w:val="20"/>
                  <w:shd w:val="clear" w:color="auto" w:fill="F7F9FF"/>
                </w:rPr>
                <w:t>http://ard.bmj.com/content/70/6/905.short</w:t>
              </w:r>
            </w:hyperlink>
            <w:r w:rsidRPr="00062D83">
              <w:rPr>
                <w:rStyle w:val="Hyperlink"/>
                <w:rFonts w:ascii="Book Antiqua" w:hAnsi="Book Antiqua" w:cs="Times New Roman"/>
                <w:color w:val="auto"/>
                <w:sz w:val="24"/>
                <w:szCs w:val="20"/>
                <w:shd w:val="clear" w:color="auto" w:fill="F7F9FF"/>
              </w:rPr>
              <w:t xml:space="preserve"> 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</w:pPr>
            <w:r w:rsidRPr="007D74D4">
              <w:rPr>
                <w:rFonts w:ascii="Book Antiqua" w:hAnsi="Book Antiqua" w:cs="Times New Roman"/>
                <w:sz w:val="24"/>
                <w:szCs w:val="20"/>
              </w:rPr>
              <w:t>Guidelines for the investigation and management of idiopathic thrombocytopenic purpura in adults, children and in pregnancy. Br J Haematol. 2003; 120(4):</w:t>
            </w:r>
            <w:r>
              <w:rPr>
                <w:rFonts w:ascii="Book Antiqua" w:hAnsi="Book Antiqua" w:cs="Times New Roman"/>
                <w:sz w:val="24"/>
                <w:szCs w:val="20"/>
              </w:rPr>
              <w:t xml:space="preserve"> 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574-596.</w:t>
            </w:r>
          </w:p>
          <w:p w:rsidR="00CF569F" w:rsidRPr="00A4207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Fonts w:ascii="Book Antiqua" w:hAnsi="Book Antiqua" w:cs="Times New Roman"/>
                <w:sz w:val="24"/>
                <w:szCs w:val="20"/>
              </w:rPr>
            </w:pPr>
            <w:r w:rsidRPr="00A4207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lastRenderedPageBreak/>
              <w:t xml:space="preserve">Goudemand J. Treatment of bleeding episodes occurring in patients with acquired haemophilia with FEIBA: the French experience. Haemophilia. 2004. </w:t>
            </w:r>
            <w:r w:rsidRPr="00A42074">
              <w:rPr>
                <w:rFonts w:ascii="Book Antiqua" w:eastAsia="Times New Roman" w:hAnsi="Book Antiqua" w:cs="Times New Roman"/>
                <w:bCs/>
                <w:sz w:val="24"/>
                <w:szCs w:val="20"/>
                <w:lang w:eastAsia="ro-RO"/>
              </w:rPr>
              <w:t>10</w:t>
            </w:r>
            <w:r w:rsidRPr="00A4207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:14. 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</w:pPr>
            <w:r w:rsidRPr="007D74D4">
              <w:rPr>
                <w:rFonts w:ascii="Book Antiqua" w:hAnsi="Book Antiqua" w:cs="Times New Roman"/>
                <w:sz w:val="24"/>
                <w:szCs w:val="20"/>
              </w:rPr>
              <w:t xml:space="preserve">Kidney Disease: Improving Global Outcomes (KDIGO) Glomerulonephritis Work Group. KDIGO Clinical Practice Guideline for Glomerulonephritis. Kidney inter., Suppl. 2012; 2: 139–274. 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135" w:line="240" w:lineRule="auto"/>
              <w:jc w:val="both"/>
              <w:textAlignment w:val="baseline"/>
              <w:outlineLvl w:val="0"/>
              <w:rPr>
                <w:rFonts w:ascii="Book Antiqua" w:hAnsi="Book Antiqua" w:cs="Times New Roman"/>
                <w:b/>
                <w:sz w:val="24"/>
                <w:szCs w:val="20"/>
              </w:rPr>
            </w:pP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Covic A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, Covic M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, Segall L. Manual de 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nefrologie. Ed. Polirom, Bucure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0"/>
                <w:lang w:eastAsia="ro-RO"/>
              </w:rPr>
              <w:t>ș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ti. 2007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: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 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1831-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18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50. 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0" w:line="360" w:lineRule="atLeast"/>
              <w:jc w:val="both"/>
              <w:textAlignment w:val="baseline"/>
              <w:outlineLvl w:val="0"/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</w:pP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Lewis J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, Neilson E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. 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Glo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merular disease. In: Harrison’s Principles of Internal M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edicine. Ed Mc Graw-Hill, New York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, 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 2015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0"/>
                <w:lang w:eastAsia="ro-RO"/>
              </w:rPr>
              <w:t xml:space="preserve">: 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1831-</w:t>
            </w:r>
            <w:r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>18</w:t>
            </w:r>
            <w:r w:rsidRPr="007D74D4">
              <w:rPr>
                <w:rFonts w:ascii="Book Antiqua" w:eastAsia="Times New Roman" w:hAnsi="Book Antiqua" w:cs="Times New Roman"/>
                <w:kern w:val="36"/>
                <w:sz w:val="24"/>
                <w:szCs w:val="20"/>
                <w:lang w:eastAsia="ro-RO"/>
              </w:rPr>
              <w:t xml:space="preserve">50. 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0" w:line="360" w:lineRule="atLeast"/>
              <w:jc w:val="both"/>
              <w:textAlignment w:val="baseline"/>
              <w:outlineLvl w:val="0"/>
              <w:rPr>
                <w:rStyle w:val="cit-name-surname"/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</w:pP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Cheson B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D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, Bennett J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M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, Kopecky K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J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, et al. Revised recommendations of the International Working Group for diagnosis, standardization of response criteria, treatment outcomes, and reporting standards for therapeutic trials in acute myeloid leukemia. J Clin Oncol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 2003;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 </w:t>
            </w:r>
            <w:r w:rsidRPr="009043A9">
              <w:rPr>
                <w:rFonts w:ascii="Book Antiqua" w:eastAsia="Times New Roman" w:hAnsi="Book Antiqua" w:cs="Times New Roman"/>
                <w:bCs/>
                <w:sz w:val="24"/>
                <w:szCs w:val="20"/>
                <w:lang w:eastAsia="ro-RO"/>
              </w:rPr>
              <w:t>21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(24):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 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4642-4649.</w:t>
            </w:r>
            <w:r w:rsidRPr="007D74D4">
              <w:rPr>
                <w:rStyle w:val="cit-name-surname"/>
                <w:rFonts w:ascii="Book Antiqua" w:hAnsi="Book Antiqua" w:cs="Times New Roman"/>
                <w:sz w:val="24"/>
                <w:szCs w:val="20"/>
                <w:bdr w:val="none" w:sz="0" w:space="0" w:color="auto" w:frame="1"/>
              </w:rPr>
              <w:t xml:space="preserve"> </w:t>
            </w:r>
          </w:p>
          <w:p w:rsidR="00CF569F" w:rsidRPr="009043A9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0" w:line="360" w:lineRule="atLeast"/>
              <w:jc w:val="both"/>
              <w:textAlignment w:val="baseline"/>
              <w:outlineLvl w:val="0"/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</w:pP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Vardiman J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W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, Thiele J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, Arber D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A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, et al. The 2008 revision of the WHO Classification of Myeloid Neoplasms and Acute Leukemia: rationale and important changes.  Blood</w:t>
            </w:r>
            <w:r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>.</w:t>
            </w:r>
            <w:r w:rsidRPr="007D74D4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 </w:t>
            </w:r>
            <w:r w:rsidRPr="009043A9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2009; </w:t>
            </w:r>
            <w:r w:rsidRPr="009043A9">
              <w:rPr>
                <w:rFonts w:ascii="Book Antiqua" w:eastAsia="Times New Roman" w:hAnsi="Book Antiqua" w:cs="Times New Roman"/>
                <w:bCs/>
                <w:sz w:val="24"/>
                <w:szCs w:val="20"/>
                <w:lang w:eastAsia="ro-RO"/>
              </w:rPr>
              <w:t>114</w:t>
            </w:r>
            <w:r w:rsidRPr="009043A9"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  <w:t xml:space="preserve">(5): 937-951. </w:t>
            </w:r>
          </w:p>
          <w:p w:rsidR="00CF569F" w:rsidRPr="007D74D4" w:rsidRDefault="00CF569F" w:rsidP="00CF569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0" w:line="360" w:lineRule="atLeast"/>
              <w:jc w:val="both"/>
              <w:textAlignment w:val="baseline"/>
              <w:outlineLvl w:val="0"/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</w:pPr>
            <w:r w:rsidRPr="007D74D4">
              <w:rPr>
                <w:rFonts w:ascii="Book Antiqua" w:hAnsi="Book Antiqua" w:cs="Times New Roman"/>
                <w:sz w:val="24"/>
                <w:szCs w:val="20"/>
              </w:rPr>
              <w:t>Petrov L</w:t>
            </w:r>
            <w:r>
              <w:rPr>
                <w:rFonts w:ascii="Book Antiqua" w:hAnsi="Book Antiqua" w:cs="Times New Roman"/>
                <w:sz w:val="24"/>
                <w:szCs w:val="20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, Cucuianu A</w:t>
            </w:r>
            <w:r>
              <w:rPr>
                <w:rFonts w:ascii="Book Antiqua" w:hAnsi="Book Antiqua" w:cs="Times New Roman"/>
                <w:sz w:val="24"/>
                <w:szCs w:val="20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, Bojan A</w:t>
            </w:r>
            <w:r>
              <w:rPr>
                <w:rFonts w:ascii="Book Antiqua" w:hAnsi="Book Antiqua" w:cs="Times New Roman"/>
                <w:sz w:val="24"/>
                <w:szCs w:val="20"/>
              </w:rPr>
              <w:t>.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>, Urian L.</w:t>
            </w:r>
            <w:r>
              <w:rPr>
                <w:rFonts w:ascii="Book Antiqua" w:hAnsi="Book Antiqua" w:cs="Times New Roman"/>
                <w:sz w:val="24"/>
                <w:szCs w:val="20"/>
              </w:rPr>
              <w:t xml:space="preserve"> Hematologie clinică. Casa Căr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ț</w:t>
            </w:r>
            <w:r>
              <w:rPr>
                <w:rFonts w:ascii="Book Antiqua" w:hAnsi="Book Antiqua" w:cs="Times New Roman"/>
                <w:sz w:val="24"/>
                <w:szCs w:val="20"/>
              </w:rPr>
              <w:t xml:space="preserve">ii de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Ș</w:t>
            </w:r>
            <w:r>
              <w:rPr>
                <w:rFonts w:ascii="Book Antiqua" w:hAnsi="Book Antiqua" w:cs="Times New Roman"/>
                <w:sz w:val="24"/>
                <w:szCs w:val="20"/>
              </w:rPr>
              <w:t>tiin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ță</w:t>
            </w:r>
            <w:r w:rsidRPr="007D74D4">
              <w:rPr>
                <w:rFonts w:ascii="Book Antiqua" w:hAnsi="Book Antiqua" w:cs="Times New Roman"/>
                <w:sz w:val="24"/>
                <w:szCs w:val="20"/>
              </w:rPr>
              <w:t xml:space="preserve"> Cluj, 2009.</w:t>
            </w:r>
          </w:p>
          <w:p w:rsidR="00D60EAC" w:rsidRPr="00CF569F" w:rsidRDefault="00D60EAC" w:rsidP="00CF569F">
            <w:pPr>
              <w:pStyle w:val="ListParagraph"/>
              <w:ind w:left="770"/>
              <w:jc w:val="both"/>
              <w:rPr>
                <w:rFonts w:ascii="Cambria" w:hAnsi="Cambria"/>
                <w:color w:val="000000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F71BF" w:rsidRPr="001D163D" w:rsidRDefault="002F71BF" w:rsidP="004E5C46">
            <w:pPr>
              <w:jc w:val="both"/>
              <w:rPr>
                <w:lang w:val="ro-RO"/>
              </w:rPr>
            </w:pPr>
            <w:r w:rsidRPr="005C1E52">
              <w:rPr>
                <w:b/>
                <w:lang w:val="ro-RO"/>
              </w:rPr>
              <w:t>Prelegerea publică:</w:t>
            </w:r>
            <w:r w:rsidRPr="001D163D">
              <w:rPr>
                <w:lang w:val="ro-RO"/>
              </w:rPr>
              <w:t xml:space="preserve"> 12 septembrie 2016, ora 10.00</w:t>
            </w:r>
          </w:p>
          <w:p w:rsidR="002F71BF" w:rsidRPr="009F481C" w:rsidRDefault="002F71BF" w:rsidP="004E5C46">
            <w:pPr>
              <w:jc w:val="both"/>
              <w:rPr>
                <w:lang w:val="ro-RO"/>
              </w:rPr>
            </w:pPr>
            <w:r w:rsidRPr="005C1E52">
              <w:rPr>
                <w:b/>
                <w:lang w:val="ro-RO"/>
              </w:rPr>
              <w:t>Proba didactică (cursul magistral):</w:t>
            </w:r>
            <w:r w:rsidRPr="001D163D">
              <w:rPr>
                <w:lang w:val="ro-RO"/>
              </w:rPr>
              <w:t xml:space="preserve"> 12 septembrie 2016, ora 11.00</w:t>
            </w: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F71BF" w:rsidRPr="00786A3E" w:rsidRDefault="005C1E52" w:rsidP="005C1E52">
            <w:pPr>
              <w:jc w:val="both"/>
              <w:rPr>
                <w:b/>
                <w:lang w:val="ro-RO"/>
              </w:rPr>
            </w:pPr>
            <w:r>
              <w:rPr>
                <w:lang w:val="ro-RO"/>
              </w:rPr>
              <w:t>Facultatea de Medicină, c</w:t>
            </w:r>
            <w:bookmarkStart w:id="0" w:name="_GoBack"/>
            <w:bookmarkEnd w:id="0"/>
            <w:r w:rsidR="002F71BF" w:rsidRPr="001D163D">
              <w:rPr>
                <w:lang w:val="ro-RO"/>
              </w:rPr>
              <w:t>orp K, strada Nicola</w:t>
            </w:r>
            <w:r w:rsidR="00394369">
              <w:rPr>
                <w:lang w:val="ro-RO"/>
              </w:rPr>
              <w:t>e Bălcescu, nr. 56, sala: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EE"/>
    <w:multiLevelType w:val="hybridMultilevel"/>
    <w:tmpl w:val="252674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C5C1139"/>
    <w:multiLevelType w:val="hybridMultilevel"/>
    <w:tmpl w:val="E8A8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453DAA"/>
    <w:multiLevelType w:val="hybridMultilevel"/>
    <w:tmpl w:val="6E205CCA"/>
    <w:lvl w:ilvl="0" w:tplc="37BA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07C3"/>
    <w:rsid w:val="002C33BE"/>
    <w:rsid w:val="002F71BF"/>
    <w:rsid w:val="00394369"/>
    <w:rsid w:val="004945BD"/>
    <w:rsid w:val="004E5C46"/>
    <w:rsid w:val="005C1E52"/>
    <w:rsid w:val="007532E3"/>
    <w:rsid w:val="007A10C3"/>
    <w:rsid w:val="009C167C"/>
    <w:rsid w:val="00A80334"/>
    <w:rsid w:val="00A86D47"/>
    <w:rsid w:val="00B2347D"/>
    <w:rsid w:val="00B639E8"/>
    <w:rsid w:val="00C2317D"/>
    <w:rsid w:val="00CC129A"/>
    <w:rsid w:val="00CF569F"/>
    <w:rsid w:val="00D60EAC"/>
    <w:rsid w:val="00D7454C"/>
    <w:rsid w:val="00DD1785"/>
    <w:rsid w:val="00E52A9E"/>
    <w:rsid w:val="00E92892"/>
    <w:rsid w:val="00F8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d.bmj.com/content/69/6/964.fu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rd.bmj.com/content/66/1/34.ful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heumatology.org/practice/clinical/guidelines/recommendations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d.bmj.com/content/70/6/905.sh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d.bmj.com/content/70/6/896.f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16</cp:revision>
  <dcterms:created xsi:type="dcterms:W3CDTF">2016-05-11T21:08:00Z</dcterms:created>
  <dcterms:modified xsi:type="dcterms:W3CDTF">2016-05-22T20:58:00Z</dcterms:modified>
</cp:coreProperties>
</file>