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Litere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 Literatură şi Studii Culturale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257CE0" w:rsidP="002D73B1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57CE0" w:rsidRDefault="00257CE0" w:rsidP="00BB4D7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ro-RO"/>
              </w:rPr>
            </w:pPr>
            <w:r w:rsidRPr="00257CE0">
              <w:rPr>
                <w:rFonts w:asciiTheme="minorHAnsi" w:hAnsiTheme="minorHAnsi"/>
                <w:lang w:val="ro-RO"/>
              </w:rPr>
              <w:t>Metode şi strategii de achiziţie a limbajului de specialitate (medical, tehnic, juridic, economic) în limba engleză.</w:t>
            </w:r>
          </w:p>
          <w:p w:rsidR="00257CE0" w:rsidRDefault="00257CE0" w:rsidP="00BB4D7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ro-RO"/>
              </w:rPr>
            </w:pPr>
            <w:r w:rsidRPr="00257CE0">
              <w:rPr>
                <w:rFonts w:asciiTheme="minorHAnsi" w:hAnsiTheme="minorHAnsi"/>
                <w:lang w:val="ro-RO"/>
              </w:rPr>
              <w:t>Diateza pasivă în limbajul de specialitate (medical, tehnic, juridic, economic) în limba engleză.</w:t>
            </w:r>
          </w:p>
          <w:p w:rsidR="002D73B1" w:rsidRPr="00257CE0" w:rsidRDefault="00257CE0" w:rsidP="00BB4D7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57CE0">
              <w:rPr>
                <w:rFonts w:asciiTheme="minorHAnsi" w:hAnsiTheme="minorHAnsi"/>
                <w:lang w:val="ro-RO"/>
              </w:rPr>
              <w:t>Didactica achiziţiei limbajului de specialitate în limba engleză.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BB4D7F" w:rsidRPr="00E94BEF" w:rsidRDefault="00BB4D7F" w:rsidP="00BB4D7F">
            <w:pPr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E94BEF">
              <w:rPr>
                <w:bCs/>
              </w:rPr>
              <w:t>Ashley, A.</w:t>
            </w:r>
            <w:r>
              <w:rPr>
                <w:bCs/>
              </w:rPr>
              <w:t xml:space="preserve">, </w:t>
            </w:r>
            <w:r w:rsidRPr="00E94BEF">
              <w:rPr>
                <w:bCs/>
                <w:i/>
              </w:rPr>
              <w:t>A Handbook of Commercial Correspondence</w:t>
            </w:r>
            <w:r w:rsidRPr="00E94BEF">
              <w:rPr>
                <w:bCs/>
              </w:rPr>
              <w:t xml:space="preserve">, </w:t>
            </w:r>
            <w:r>
              <w:rPr>
                <w:bCs/>
              </w:rPr>
              <w:t xml:space="preserve">Oxford, </w:t>
            </w:r>
            <w:r w:rsidRPr="00E94BEF">
              <w:rPr>
                <w:bCs/>
              </w:rPr>
              <w:t>O</w:t>
            </w:r>
            <w:r>
              <w:rPr>
                <w:bCs/>
              </w:rPr>
              <w:t xml:space="preserve">xford </w:t>
            </w:r>
            <w:r w:rsidRPr="00E94BEF">
              <w:rPr>
                <w:bCs/>
              </w:rPr>
              <w:t>U</w:t>
            </w:r>
            <w:r>
              <w:rPr>
                <w:bCs/>
              </w:rPr>
              <w:t xml:space="preserve">niversity </w:t>
            </w:r>
            <w:r w:rsidRPr="00E94BEF">
              <w:rPr>
                <w:bCs/>
              </w:rPr>
              <w:t>P</w:t>
            </w:r>
            <w:r>
              <w:rPr>
                <w:bCs/>
              </w:rPr>
              <w:t>ress</w:t>
            </w:r>
            <w:r w:rsidRPr="00E94BEF">
              <w:rPr>
                <w:bCs/>
              </w:rPr>
              <w:t>, 2003</w:t>
            </w:r>
            <w:r>
              <w:rPr>
                <w:bCs/>
              </w:rPr>
              <w:t>.</w:t>
            </w:r>
          </w:p>
          <w:p w:rsidR="00BB4D7F" w:rsidRDefault="00BB4D7F" w:rsidP="00BB4D7F">
            <w:pPr>
              <w:numPr>
                <w:ilvl w:val="0"/>
                <w:numId w:val="5"/>
              </w:numPr>
              <w:jc w:val="both"/>
            </w:pPr>
            <w:r w:rsidRPr="00E94BEF">
              <w:t>Ellis, M</w:t>
            </w:r>
            <w:r>
              <w:t>.</w:t>
            </w:r>
            <w:r w:rsidRPr="00E94BEF">
              <w:t>; Johnson, C</w:t>
            </w:r>
            <w:r>
              <w:t>.</w:t>
            </w:r>
            <w:r w:rsidRPr="00E94BEF">
              <w:t xml:space="preserve">, </w:t>
            </w:r>
            <w:r w:rsidRPr="00E94BEF">
              <w:rPr>
                <w:i/>
              </w:rPr>
              <w:t>Teaching B</w:t>
            </w:r>
            <w:r>
              <w:rPr>
                <w:i/>
              </w:rPr>
              <w:t xml:space="preserve">usiness </w:t>
            </w:r>
            <w:r w:rsidRPr="00E94BEF">
              <w:rPr>
                <w:i/>
              </w:rPr>
              <w:t>E</w:t>
            </w:r>
            <w:r>
              <w:rPr>
                <w:i/>
              </w:rPr>
              <w:t>nglish</w:t>
            </w:r>
            <w:r w:rsidRPr="00E94BEF">
              <w:rPr>
                <w:i/>
              </w:rPr>
              <w:t>: An Introduction to Business English for Language Teachers</w:t>
            </w:r>
            <w:r>
              <w:rPr>
                <w:i/>
              </w:rPr>
              <w:t>, Trainers and Course Organizers</w:t>
            </w:r>
            <w:r w:rsidRPr="00E94BEF">
              <w:t xml:space="preserve">, </w:t>
            </w:r>
            <w:r>
              <w:t xml:space="preserve">Oxford, </w:t>
            </w:r>
            <w:r w:rsidRPr="00E94BEF">
              <w:t>Oxford University</w:t>
            </w:r>
            <w:r>
              <w:t xml:space="preserve"> Press, 1994.</w:t>
            </w:r>
          </w:p>
          <w:p w:rsidR="00BB4D7F" w:rsidRPr="00CA7679" w:rsidRDefault="00BB4D7F" w:rsidP="00BB4D7F">
            <w:pPr>
              <w:pStyle w:val="ListParagraph"/>
              <w:numPr>
                <w:ilvl w:val="0"/>
                <w:numId w:val="5"/>
              </w:numPr>
              <w:spacing w:after="60"/>
              <w:rPr>
                <w:sz w:val="22"/>
                <w:szCs w:val="22"/>
                <w:lang w:val="en-GB" w:eastAsia="ro-RO"/>
              </w:rPr>
            </w:pPr>
            <w:r w:rsidRPr="00CA7679">
              <w:rPr>
                <w:sz w:val="22"/>
                <w:szCs w:val="22"/>
                <w:lang w:val="en-GB"/>
              </w:rPr>
              <w:t xml:space="preserve">A &amp; C Black Publishers Ltd, </w:t>
            </w:r>
            <w:r w:rsidRPr="00CA7679">
              <w:rPr>
                <w:i/>
                <w:sz w:val="22"/>
                <w:szCs w:val="22"/>
                <w:lang w:val="en-GB"/>
              </w:rPr>
              <w:t xml:space="preserve">Check Your English Vocabulary in Medicine, </w:t>
            </w:r>
            <w:r w:rsidRPr="00CA7679">
              <w:rPr>
                <w:sz w:val="22"/>
                <w:szCs w:val="22"/>
                <w:lang w:val="en-GB"/>
              </w:rPr>
              <w:t>A &amp; C Black Publishers Ltd, London, 2006</w:t>
            </w:r>
          </w:p>
          <w:p w:rsidR="00BB4D7F" w:rsidRPr="00CA7679" w:rsidRDefault="00BB4D7F" w:rsidP="00BB4D7F">
            <w:pPr>
              <w:pStyle w:val="ListParagraph"/>
              <w:numPr>
                <w:ilvl w:val="0"/>
                <w:numId w:val="5"/>
              </w:numPr>
              <w:spacing w:after="60"/>
              <w:rPr>
                <w:i/>
                <w:sz w:val="22"/>
                <w:szCs w:val="22"/>
                <w:lang w:val="en-GB" w:eastAsia="ro-RO"/>
              </w:rPr>
            </w:pPr>
            <w:r w:rsidRPr="00CA7679">
              <w:rPr>
                <w:sz w:val="22"/>
                <w:szCs w:val="22"/>
                <w:lang w:val="en-GB"/>
              </w:rPr>
              <w:t xml:space="preserve">Canfield Willis, M: </w:t>
            </w:r>
            <w:r w:rsidRPr="00CA7679">
              <w:rPr>
                <w:rStyle w:val="a-size-extra-large"/>
                <w:i/>
                <w:sz w:val="22"/>
                <w:szCs w:val="22"/>
                <w:lang w:val="en-GB"/>
              </w:rPr>
              <w:t>Medical Terminology: A Programmed Learning Approach to the Language of Health Care</w:t>
            </w:r>
            <w:r w:rsidRPr="00CA7679">
              <w:rPr>
                <w:sz w:val="22"/>
                <w:szCs w:val="22"/>
                <w:lang w:val="en-GB"/>
              </w:rPr>
              <w:t>, Lippincott Williams &amp; Wilkins, 2011</w:t>
            </w:r>
          </w:p>
          <w:p w:rsidR="00BB4D7F" w:rsidRPr="0046491A" w:rsidRDefault="00BB4D7F" w:rsidP="00BB4D7F">
            <w:pPr>
              <w:pStyle w:val="Heading1"/>
              <w:numPr>
                <w:ilvl w:val="0"/>
                <w:numId w:val="5"/>
              </w:numPr>
              <w:rPr>
                <w:b w:val="0"/>
                <w:noProof/>
                <w:sz w:val="24"/>
                <w:szCs w:val="24"/>
              </w:rPr>
            </w:pPr>
            <w:r w:rsidRPr="0046491A">
              <w:rPr>
                <w:b w:val="0"/>
                <w:noProof/>
                <w:sz w:val="24"/>
                <w:szCs w:val="24"/>
              </w:rPr>
              <w:t xml:space="preserve">Brieger, N. and Pohl, A., </w:t>
            </w:r>
            <w:r w:rsidRPr="0046491A">
              <w:rPr>
                <w:b w:val="0"/>
                <w:i/>
                <w:noProof/>
                <w:sz w:val="24"/>
                <w:szCs w:val="24"/>
              </w:rPr>
              <w:t>Technical English: Vocabulary and Grammar</w:t>
            </w:r>
            <w:r w:rsidRPr="0046491A">
              <w:rPr>
                <w:b w:val="0"/>
                <w:noProof/>
                <w:sz w:val="24"/>
                <w:szCs w:val="24"/>
              </w:rPr>
              <w:t>. Summertown Publishing, 2002.</w:t>
            </w:r>
          </w:p>
          <w:p w:rsidR="00D60EAC" w:rsidRPr="002D73B1" w:rsidRDefault="00BB4D7F" w:rsidP="00BB4D7F">
            <w:pPr>
              <w:pStyle w:val="Default"/>
              <w:numPr>
                <w:ilvl w:val="0"/>
                <w:numId w:val="5"/>
              </w:numPr>
              <w:rPr>
                <w:lang w:val="ro-RO"/>
              </w:rPr>
            </w:pPr>
            <w:r w:rsidRPr="0046491A">
              <w:rPr>
                <w:rFonts w:ascii="Times New Roman" w:hAnsi="Times New Roman" w:cs="Times New Roman"/>
                <w:noProof/>
              </w:rPr>
              <w:t xml:space="preserve">Dudley-Evans, T. and St. John, M.J., </w:t>
            </w:r>
            <w:r w:rsidRPr="0046491A">
              <w:rPr>
                <w:rFonts w:ascii="Times New Roman" w:hAnsi="Times New Roman" w:cs="Times New Roman"/>
                <w:i/>
                <w:iCs/>
                <w:noProof/>
              </w:rPr>
              <w:t xml:space="preserve">Developments in English for Specific Purposes: A Multidisciplinary Approach. </w:t>
            </w:r>
            <w:r w:rsidRPr="0046491A">
              <w:rPr>
                <w:rFonts w:ascii="Times New Roman" w:hAnsi="Times New Roman" w:cs="Times New Roman"/>
                <w:noProof/>
              </w:rPr>
              <w:t>Cambridge University Press, 1998.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F54CE0" w:rsidP="00257CE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257CE0">
              <w:rPr>
                <w:rFonts w:ascii="Cambria" w:hAnsi="Cambria"/>
                <w:b/>
                <w:lang w:val="ro-RO"/>
              </w:rPr>
              <w:t>5</w:t>
            </w:r>
            <w:r>
              <w:rPr>
                <w:rFonts w:ascii="Cambria" w:hAnsi="Cambria"/>
                <w:b/>
                <w:lang w:val="ro-RO"/>
              </w:rPr>
              <w:t>.09.2016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</w:t>
            </w:r>
            <w:r w:rsidR="00257CE0">
              <w:rPr>
                <w:rFonts w:ascii="Cambria" w:hAnsi="Cambria"/>
                <w:b/>
                <w:lang w:val="ro-RO"/>
              </w:rPr>
              <w:t>3</w:t>
            </w:r>
            <w:r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F54CE0" w:rsidP="00257CE0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Corp T, B-dul Eroilor, nr.</w:t>
            </w:r>
            <w:r w:rsidR="002D73B1">
              <w:rPr>
                <w:b/>
                <w:lang w:val="ro-RO"/>
              </w:rPr>
              <w:t xml:space="preserve"> 25, Loc./Jud. Braşov, sala TP</w:t>
            </w:r>
            <w:r w:rsidR="00257CE0">
              <w:rPr>
                <w:b/>
                <w:lang w:val="ro-RO"/>
              </w:rPr>
              <w:t>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32D3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91498"/>
    <w:multiLevelType w:val="hybridMultilevel"/>
    <w:tmpl w:val="390E2FFA"/>
    <w:lvl w:ilvl="0" w:tplc="27DEFC0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520"/>
    <w:multiLevelType w:val="hybridMultilevel"/>
    <w:tmpl w:val="5BE4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76EC6"/>
    <w:multiLevelType w:val="hybridMultilevel"/>
    <w:tmpl w:val="910E392C"/>
    <w:lvl w:ilvl="0" w:tplc="D398F5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2C28EB"/>
    <w:multiLevelType w:val="hybridMultilevel"/>
    <w:tmpl w:val="E3BAD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B35F6"/>
    <w:multiLevelType w:val="hybridMultilevel"/>
    <w:tmpl w:val="4192D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4810"/>
    <w:multiLevelType w:val="hybridMultilevel"/>
    <w:tmpl w:val="B596CAF0"/>
    <w:lvl w:ilvl="0" w:tplc="162E4C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B9219F"/>
    <w:multiLevelType w:val="hybridMultilevel"/>
    <w:tmpl w:val="0C0A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57CE0"/>
    <w:rsid w:val="002C33BE"/>
    <w:rsid w:val="002D73B1"/>
    <w:rsid w:val="004945BD"/>
    <w:rsid w:val="007A10C3"/>
    <w:rsid w:val="007D376B"/>
    <w:rsid w:val="009C167C"/>
    <w:rsid w:val="00A80334"/>
    <w:rsid w:val="00A86D47"/>
    <w:rsid w:val="00B2347D"/>
    <w:rsid w:val="00BB4D7F"/>
    <w:rsid w:val="00D60EAC"/>
    <w:rsid w:val="00E52A9E"/>
    <w:rsid w:val="00F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Heading1">
    <w:name w:val="heading 1"/>
    <w:basedOn w:val="Normal"/>
    <w:link w:val="Heading1Char"/>
    <w:qFormat/>
    <w:rsid w:val="00BB4D7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character" w:styleId="Hyperlink">
    <w:name w:val="Hyperlink"/>
    <w:uiPriority w:val="99"/>
    <w:unhideWhenUsed/>
    <w:rsid w:val="00257CE0"/>
    <w:rPr>
      <w:color w:val="0000FF"/>
      <w:u w:val="single"/>
    </w:rPr>
  </w:style>
  <w:style w:type="character" w:customStyle="1" w:styleId="a-size-extra-large">
    <w:name w:val="a-size-extra-large"/>
    <w:basedOn w:val="DefaultParagraphFont"/>
    <w:rsid w:val="00BB4D7F"/>
  </w:style>
  <w:style w:type="character" w:customStyle="1" w:styleId="Heading1Char">
    <w:name w:val="Heading 1 Char"/>
    <w:basedOn w:val="DefaultParagraphFont"/>
    <w:link w:val="Heading1"/>
    <w:rsid w:val="00BB4D7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BB4D7F"/>
    <w:pPr>
      <w:autoSpaceDE w:val="0"/>
      <w:autoSpaceDN w:val="0"/>
      <w:adjustRightInd w:val="0"/>
    </w:pPr>
    <w:rPr>
      <w:rFonts w:eastAsia="Times New Roman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Heading1">
    <w:name w:val="heading 1"/>
    <w:basedOn w:val="Normal"/>
    <w:link w:val="Heading1Char"/>
    <w:qFormat/>
    <w:rsid w:val="00BB4D7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character" w:styleId="Hyperlink">
    <w:name w:val="Hyperlink"/>
    <w:uiPriority w:val="99"/>
    <w:unhideWhenUsed/>
    <w:rsid w:val="00257CE0"/>
    <w:rPr>
      <w:color w:val="0000FF"/>
      <w:u w:val="single"/>
    </w:rPr>
  </w:style>
  <w:style w:type="character" w:customStyle="1" w:styleId="a-size-extra-large">
    <w:name w:val="a-size-extra-large"/>
    <w:basedOn w:val="DefaultParagraphFont"/>
    <w:rsid w:val="00BB4D7F"/>
  </w:style>
  <w:style w:type="character" w:customStyle="1" w:styleId="Heading1Char">
    <w:name w:val="Heading 1 Char"/>
    <w:basedOn w:val="DefaultParagraphFont"/>
    <w:link w:val="Heading1"/>
    <w:rsid w:val="00BB4D7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BB4D7F"/>
    <w:pPr>
      <w:autoSpaceDE w:val="0"/>
      <w:autoSpaceDN w:val="0"/>
      <w:adjustRightInd w:val="0"/>
    </w:pPr>
    <w:rPr>
      <w:rFonts w:eastAsia="Times New Roman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7</cp:revision>
  <dcterms:created xsi:type="dcterms:W3CDTF">2016-05-11T21:08:00Z</dcterms:created>
  <dcterms:modified xsi:type="dcterms:W3CDTF">2016-05-18T10:31:00Z</dcterms:modified>
</cp:coreProperties>
</file>