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2754EC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2754EC" w:rsidRPr="00867CDD" w:rsidRDefault="002754EC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2754EC" w:rsidRPr="00867CDD" w:rsidRDefault="002754EC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754EC" w:rsidRPr="00867CDD" w:rsidRDefault="002754EC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2754EC" w:rsidRPr="00867CDD" w:rsidRDefault="002754EC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2754EC" w:rsidRPr="00867CDD" w:rsidRDefault="002754EC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2754EC" w:rsidRPr="00867CDD" w:rsidRDefault="002754EC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2754EC" w:rsidRPr="00867CDD" w:rsidRDefault="002754EC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Conferen</w:t>
            </w:r>
            <w:r>
              <w:rPr>
                <w:rFonts w:ascii="Tahoma" w:hAnsi="Tahoma" w:cs="Tahoma"/>
                <w:b/>
                <w:bCs/>
                <w:color w:val="FFFFFF"/>
                <w:sz w:val="28"/>
                <w:szCs w:val="28"/>
                <w:lang w:val="ro-RO"/>
              </w:rPr>
              <w:t>ț</w:t>
            </w: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iar universitar</w:t>
            </w:r>
          </w:p>
          <w:p w:rsidR="002754EC" w:rsidRPr="00867CDD" w:rsidRDefault="002754EC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25</w:t>
            </w:r>
          </w:p>
        </w:tc>
      </w:tr>
      <w:tr w:rsidR="002754EC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754EC" w:rsidRPr="00476293" w:rsidRDefault="002754EC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</w:p>
          <w:p w:rsidR="002754EC" w:rsidRPr="00476293" w:rsidRDefault="002754EC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476293">
              <w:rPr>
                <w:rFonts w:ascii="Cambria" w:hAnsi="Cambria" w:cs="Cambria"/>
                <w:b/>
                <w:bCs/>
                <w:color w:val="000000"/>
                <w:lang w:val="ro-RO"/>
              </w:rPr>
              <w:t>Tematica prelegerii publice</w:t>
            </w:r>
          </w:p>
          <w:p w:rsidR="002754EC" w:rsidRPr="00476293" w:rsidRDefault="002754EC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</w:p>
        </w:tc>
      </w:tr>
      <w:tr w:rsidR="002754EC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754EC" w:rsidRPr="00655FDC" w:rsidRDefault="002754EC" w:rsidP="00655FDC">
            <w:pPr>
              <w:rPr>
                <w:rFonts w:cs="Times New Roman"/>
                <w:lang w:val="ro-RO"/>
              </w:rPr>
            </w:pPr>
            <w:r w:rsidRPr="00655FDC">
              <w:rPr>
                <w:lang w:val="ro-RO"/>
              </w:rPr>
              <w:t>Tematică:</w:t>
            </w:r>
            <w:r w:rsidRPr="00655FDC">
              <w:t xml:space="preserve"> </w:t>
            </w:r>
          </w:p>
          <w:p w:rsidR="002754EC" w:rsidRPr="00655FDC" w:rsidRDefault="002754EC" w:rsidP="00655FDC">
            <w:pPr>
              <w:rPr>
                <w:rFonts w:cs="Times New Roman"/>
                <w:lang w:val="ro-RO"/>
              </w:rPr>
            </w:pPr>
            <w:r w:rsidRPr="00655FDC">
              <w:rPr>
                <w:lang w:val="ro-RO"/>
              </w:rPr>
              <w:t>1. Matematică aplicată în economie şi matematici financiare</w:t>
            </w:r>
          </w:p>
          <w:p w:rsidR="002754EC" w:rsidRPr="00655FDC" w:rsidRDefault="002754EC" w:rsidP="00655FDC">
            <w:pPr>
              <w:rPr>
                <w:rFonts w:cs="Times New Roman"/>
                <w:lang w:val="ro-RO"/>
              </w:rPr>
            </w:pPr>
            <w:r w:rsidRPr="00655FDC">
              <w:rPr>
                <w:lang w:val="ro-RO"/>
              </w:rPr>
              <w:t>2. Elemente de teoria numerelor şi matematică aplicată</w:t>
            </w:r>
          </w:p>
          <w:p w:rsidR="002754EC" w:rsidRPr="00655FDC" w:rsidRDefault="002754EC" w:rsidP="00655FDC">
            <w:pPr>
              <w:rPr>
                <w:lang w:val="ro-RO"/>
              </w:rPr>
            </w:pPr>
            <w:r w:rsidRPr="00655FDC">
              <w:rPr>
                <w:lang w:val="ro-RO"/>
              </w:rPr>
              <w:t xml:space="preserve">3. Optimizare şi inegalităţi pentru funcţionale liniare pozitive </w:t>
            </w:r>
          </w:p>
          <w:p w:rsidR="002754EC" w:rsidRPr="00655FDC" w:rsidRDefault="002754EC" w:rsidP="00655FDC">
            <w:pPr>
              <w:rPr>
                <w:rFonts w:cs="Times New Roman"/>
                <w:lang w:val="ro-RO"/>
              </w:rPr>
            </w:pPr>
            <w:r w:rsidRPr="00655FDC">
              <w:rPr>
                <w:lang w:val="ro-RO"/>
              </w:rPr>
              <w:t xml:space="preserve">4. </w:t>
            </w:r>
            <w:r w:rsidRPr="00655FDC">
              <w:t>Teoria entropiilor generalizate</w:t>
            </w:r>
          </w:p>
          <w:p w:rsidR="002754EC" w:rsidRPr="00655FDC" w:rsidRDefault="002754EC" w:rsidP="00655FDC">
            <w:pPr>
              <w:rPr>
                <w:rFonts w:cs="Times New Roman"/>
                <w:lang w:val="ro-RO"/>
              </w:rPr>
            </w:pPr>
          </w:p>
          <w:p w:rsidR="002754EC" w:rsidRPr="00655FDC" w:rsidRDefault="002754EC" w:rsidP="00655FDC">
            <w:pPr>
              <w:rPr>
                <w:lang w:val="ro-RO"/>
              </w:rPr>
            </w:pPr>
            <w:r w:rsidRPr="00655FDC">
              <w:rPr>
                <w:lang w:val="ro-RO"/>
              </w:rPr>
              <w:t>Bibliografie minimală:</w:t>
            </w:r>
          </w:p>
          <w:p w:rsidR="002754EC" w:rsidRPr="00655FDC" w:rsidRDefault="002754EC" w:rsidP="00655FDC">
            <w:pPr>
              <w:numPr>
                <w:ilvl w:val="0"/>
                <w:numId w:val="1"/>
              </w:numPr>
              <w:rPr>
                <w:rFonts w:cs="Times New Roman"/>
                <w:color w:val="000000"/>
              </w:rPr>
            </w:pPr>
            <w:r w:rsidRPr="00655FDC">
              <w:t xml:space="preserve">M, Pemberton, N. Rau, Mathematics for economists: An Introductory Textbook, University of Toronto Press, 2011. </w:t>
            </w:r>
          </w:p>
          <w:p w:rsidR="002754EC" w:rsidRPr="00655FDC" w:rsidRDefault="002754EC" w:rsidP="00655FDC">
            <w:pPr>
              <w:numPr>
                <w:ilvl w:val="0"/>
                <w:numId w:val="1"/>
              </w:numPr>
              <w:rPr>
                <w:rFonts w:cs="Times New Roman"/>
              </w:rPr>
            </w:pPr>
            <w:r w:rsidRPr="00655FDC">
              <w:t>R.G.D. Allen, Analiză matematică pentru economişti, Ed. Ştiinţifică, Buc. 1971</w:t>
            </w:r>
          </w:p>
          <w:p w:rsidR="002754EC" w:rsidRPr="00655FDC" w:rsidRDefault="002754EC" w:rsidP="00655FDC">
            <w:pPr>
              <w:numPr>
                <w:ilvl w:val="0"/>
                <w:numId w:val="1"/>
              </w:numPr>
            </w:pPr>
            <w:r w:rsidRPr="00655FDC">
              <w:t>I. Gavrea, Inequalities and Approximation, Editura Mediamira, Cluj-Napoca, 2004</w:t>
            </w:r>
          </w:p>
          <w:p w:rsidR="002754EC" w:rsidRPr="00655FDC" w:rsidRDefault="002754EC" w:rsidP="00655FDC">
            <w:pPr>
              <w:numPr>
                <w:ilvl w:val="0"/>
                <w:numId w:val="1"/>
              </w:numPr>
              <w:rPr>
                <w:rFonts w:cs="Times New Roman"/>
              </w:rPr>
            </w:pPr>
            <w:r w:rsidRPr="00655FDC">
              <w:t xml:space="preserve">L. Panaitopol, A. Gica, </w:t>
            </w:r>
            <w:r w:rsidRPr="00655FDC">
              <w:rPr>
                <w:lang w:val="it-IT"/>
              </w:rPr>
              <w:t>O introducere în  aritmetică şi teoria numerelor, Editura Universităţii Bucureşti, 2001.</w:t>
            </w:r>
          </w:p>
          <w:p w:rsidR="002754EC" w:rsidRPr="00655FDC" w:rsidRDefault="002754EC" w:rsidP="009C167C">
            <w:pPr>
              <w:jc w:val="both"/>
              <w:rPr>
                <w:rFonts w:cs="Times New Roman"/>
                <w:color w:val="000000"/>
              </w:rPr>
            </w:pPr>
          </w:p>
        </w:tc>
      </w:tr>
      <w:tr w:rsidR="002754EC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2754EC" w:rsidRPr="00867CDD" w:rsidRDefault="002754EC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754EC" w:rsidRPr="00867CDD" w:rsidRDefault="002754EC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2754EC" w:rsidRPr="00867CDD" w:rsidRDefault="002754EC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754EC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2754EC" w:rsidRPr="00867CDD" w:rsidRDefault="002754EC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754EC" w:rsidRPr="00867CDD" w:rsidRDefault="002754EC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17     </w:t>
            </w:r>
            <w:r w:rsidRPr="00110772">
              <w:rPr>
                <w:b/>
                <w:bCs/>
                <w:lang w:val="ro-RO"/>
              </w:rPr>
              <w:t>Septembrie 2015, ora 10:00</w:t>
            </w:r>
          </w:p>
        </w:tc>
      </w:tr>
      <w:tr w:rsidR="002754EC" w:rsidRPr="00655FDC">
        <w:trPr>
          <w:jc w:val="center"/>
        </w:trPr>
        <w:tc>
          <w:tcPr>
            <w:tcW w:w="3510" w:type="dxa"/>
            <w:shd w:val="clear" w:color="auto" w:fill="EDF6F9"/>
          </w:tcPr>
          <w:p w:rsidR="002754EC" w:rsidRPr="00867CDD" w:rsidRDefault="002754EC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754EC" w:rsidRPr="00867CDD" w:rsidRDefault="002754EC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Brașov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Iuliu Maniu,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Nr. 50, Corp P,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PP6</w:t>
            </w:r>
          </w:p>
        </w:tc>
      </w:tr>
    </w:tbl>
    <w:p w:rsidR="002754EC" w:rsidRPr="00655FDC" w:rsidRDefault="002754EC">
      <w:pPr>
        <w:rPr>
          <w:rFonts w:cs="Times New Roman"/>
          <w:lang w:val="fr-FR"/>
        </w:rPr>
      </w:pPr>
    </w:p>
    <w:sectPr w:rsidR="002754EC" w:rsidRPr="00655FDC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37002"/>
    <w:rsid w:val="00110772"/>
    <w:rsid w:val="00194574"/>
    <w:rsid w:val="002754EC"/>
    <w:rsid w:val="002C33BE"/>
    <w:rsid w:val="00443AC9"/>
    <w:rsid w:val="00476293"/>
    <w:rsid w:val="004945BD"/>
    <w:rsid w:val="00513FF7"/>
    <w:rsid w:val="00655FDC"/>
    <w:rsid w:val="0066782C"/>
    <w:rsid w:val="007A10C3"/>
    <w:rsid w:val="00867CDD"/>
    <w:rsid w:val="008D7670"/>
    <w:rsid w:val="00913658"/>
    <w:rsid w:val="00930DA7"/>
    <w:rsid w:val="009C167C"/>
    <w:rsid w:val="00A80334"/>
    <w:rsid w:val="00AA07F3"/>
    <w:rsid w:val="00B2347D"/>
    <w:rsid w:val="00B8597B"/>
    <w:rsid w:val="00BD2970"/>
    <w:rsid w:val="00D60EAC"/>
    <w:rsid w:val="00E52A9E"/>
    <w:rsid w:val="00F07EE6"/>
    <w:rsid w:val="00FF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142</Words>
  <Characters>814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director</cp:lastModifiedBy>
  <cp:revision>3</cp:revision>
  <dcterms:created xsi:type="dcterms:W3CDTF">2015-05-06T08:05:00Z</dcterms:created>
  <dcterms:modified xsi:type="dcterms:W3CDTF">2015-05-06T08:42:00Z</dcterms:modified>
</cp:coreProperties>
</file>